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rPr>
          <w:b/>
          <w:color w:val="1F3864"/>
          <w:sz w:val="48"/>
        </w:rPr>
        <w:t>TOWARD A DEFENSIBLE SOCIAL LICENCE</w:t>
      </w:r>
    </w:p>
    <w:p/>
    <w:p>
      <w:pPr>
        <w:jc w:val="center"/>
      </w:pPr>
      <w:r>
        <w:rPr>
          <w:i/>
          <w:color w:val="1F3864"/>
          <w:sz w:val="32"/>
        </w:rPr>
        <w:t>The Headspring Investments uranium in-situ recovery project in the Stampriet Transboundary Aquifer System</w:t>
      </w:r>
    </w:p>
    <w:p/>
    <w:p/>
    <w:p>
      <w:pPr>
        <w:jc w:val="center"/>
      </w:pPr>
      <w:r>
        <w:rPr>
          <w:i/>
          <w:color w:val="595959"/>
          <w:sz w:val="24"/>
        </w:rPr>
        <w:t>A qualitative research report on the social-licence-to-operate configuration around the proposed Headspring Investments and Uranium One Group uranium project in eastern Namibia</w:t>
      </w:r>
    </w:p>
    <w:p/>
    <w:p/>
    <w:p/>
    <w:p/>
    <w:p/>
    <w:p/>
    <w:p>
      <w:pPr>
        <w:jc w:val="center"/>
      </w:pPr>
      <w:r>
        <w:rPr>
          <w:b/>
          <w:sz w:val="28"/>
        </w:rPr>
        <w:t>Christie Keulder</w:t>
      </w:r>
    </w:p>
    <w:p>
      <w:pPr>
        <w:jc w:val="center"/>
      </w:pPr>
      <w:r>
        <w:rPr>
          <w:i/>
          <w:color w:val="595959"/>
          <w:sz w:val="23"/>
        </w:rPr>
        <w:t>Cirrus Survey Warehouse, Windhoek, Namibia</w:t>
      </w:r>
    </w:p>
    <w:p/>
    <w:p/>
    <w:p>
      <w:pPr>
        <w:jc w:val="center"/>
      </w:pPr>
      <w:r>
        <w:rPr>
          <w:i/>
          <w:color w:val="595959"/>
          <w:sz w:val="22"/>
        </w:rPr>
        <w:t>June 2026</w:t>
      </w:r>
    </w:p>
    <w:p/>
    <w:p/>
    <w:p/>
    <w:p/>
    <w:p>
      <w:pPr>
        <w:jc w:val="center"/>
      </w:pPr>
      <w:r>
        <w:rPr>
          <w:i/>
          <w:color w:val="595959"/>
          <w:sz w:val="21"/>
        </w:rPr>
        <w:t>Funded by Friedrich Ebert Stiftung (FES) Namibia</w:t>
      </w:r>
    </w:p>
    <w:p>
      <w:r>
        <w:br w:type="page"/>
      </w:r>
    </w:p>
    <w:p/>
    <w:p/>
    <w:p/>
    <w:p/>
    <w:p>
      <w:pPr>
        <w:jc w:val="center"/>
      </w:pPr>
      <w:r>
        <w:rPr>
          <w:b/>
          <w:color w:val="B31B1B"/>
          <w:sz w:val="40"/>
        </w:rPr>
        <w:t>DRAFT FOR LIMITED CIRCULATION</w:t>
      </w:r>
    </w:p>
    <w:p>
      <w:pPr>
        <w:jc w:val="center"/>
      </w:pPr>
      <w:r>
        <w:rPr>
          <w:i/>
          <w:color w:val="1F3864"/>
          <w:sz w:val="26"/>
        </w:rPr>
        <w:t>Not for citation or distribution</w:t>
      </w:r>
    </w:p>
    <w:p/>
    <w:p/>
    <w:p>
      <w:pPr>
        <w:spacing w:after="120" w:line="300" w:lineRule="auto"/>
        <w:ind w:left="283" w:right="283"/>
        <w:pBdr>
          <w:top w:val="single" w:sz="12" w:space="8" w:color="B31B1B"/>
          <w:left w:val="single" w:sz="12" w:space="8" w:color="B31B1B"/>
          <w:bottom w:val="single" w:sz="12" w:space="8" w:color="B31B1B"/>
          <w:right w:val="single" w:sz="12" w:space="8" w:color="B31B1B"/>
        </w:pBdr>
      </w:pPr>
      <w:r>
        <w:rPr>
          <w:color w:val="262626"/>
          <w:sz w:val="22"/>
        </w:rPr>
        <w:t>This document is a working draft circulated by the author to a small number of named colleagues for the sole purpose of obtaining substantive comments, factual corrections and methodological feedback. It is not a final product and is subject to revision. The findings, interpretations and conclusions are provisional and should not be taken as the author's settled position. The document is supplied in confidence and remains the intellectual property of the author. It may not be quoted, cited, reproduced, redistributed, posted online, forwarded to third parties, or referenced in any public or internal communication, in whole or in part, without the prior written consent of the author. Recipients are asked to limit access to themselves, to destroy or return any printed copies once their review is complete, and to direct all comments to the author directly. The funder, Friedrich Ebert Stiftung (Namibia), has had no role in the drafting of this document and bears no responsibility for its content; responsibility for any error of fact or interpretation rests with the author alone.</w:t>
      </w:r>
    </w:p>
    <w:p/>
    <w:p/>
    <w:p>
      <w:pPr>
        <w:jc w:val="center"/>
      </w:pPr>
      <w:r>
        <w:rPr>
          <w:b/>
          <w:color w:val="1F3864"/>
          <w:sz w:val="22"/>
        </w:rPr>
        <w:t>Christie Keulder</w:t>
      </w:r>
    </w:p>
    <w:p>
      <w:pPr>
        <w:jc w:val="center"/>
      </w:pPr>
      <w:r>
        <w:rPr>
          <w:i/>
          <w:color w:val="262626"/>
          <w:sz w:val="20"/>
        </w:rPr>
        <w:t>Cirrus Survey Warehouse · Windhoek, Namibia</w:t>
      </w:r>
    </w:p>
    <w:p>
      <w:pPr>
        <w:jc w:val="center"/>
      </w:pPr>
      <w:r>
        <w:rPr>
          <w:i/>
          <w:color w:val="262626"/>
          <w:sz w:val="20"/>
        </w:rPr>
        <w:t>christiekeulder@gmail.com</w:t>
      </w:r>
    </w:p>
    <w:p>
      <w:pPr>
        <w:jc w:val="center"/>
      </w:pPr>
      <w:r>
        <w:rPr>
          <w:i/>
          <w:color w:val="262626"/>
          <w:sz w:val="20"/>
        </w:rPr>
        <w:t>Draft circulated: June 2026</w:t>
      </w:r>
    </w:p>
    <w:p>
      <w:r>
        <w:br w:type="page"/>
      </w:r>
    </w:p>
    <w:p>
      <w:pPr>
        <w:spacing w:after="80"/>
        <w:jc w:val="center"/>
      </w:pPr>
      <w:r>
        <w:rPr>
          <w:b/>
          <w:color w:val="1F3864"/>
          <w:sz w:val="32"/>
        </w:rPr>
        <w:t>READER'S ORIENTATION</w:t>
      </w:r>
    </w:p>
    <w:p>
      <w:pPr>
        <w:spacing w:after="200"/>
        <w:jc w:val="center"/>
      </w:pPr>
      <w:r>
        <w:rPr>
          <w:i/>
          <w:color w:val="595959"/>
          <w:sz w:val="21"/>
        </w:rPr>
        <w:t>The twelve concepts the report rests on, in plain English</w:t>
      </w:r>
    </w:p>
    <w:p>
      <w:pPr>
        <w:spacing w:before="0" w:after="160" w:line="274" w:lineRule="auto"/>
        <w:jc w:val="both"/>
      </w:pPr>
      <w:r>
        <w:rPr>
          <w:b w:val="0"/>
          <w:i/>
          <w:color w:val="595959"/>
          <w:sz w:val="18"/>
        </w:rPr>
        <w:t>The report draws on a small set of technical concepts. Each is introduced and developed at the point in the report where it does its analytical work, but the reader new to the vocabulary may find it useful to have a single reference before starting. The definitions below set out, in plain language, what the report means by each term.</w:t>
      </w:r>
    </w:p>
    <w:p>
      <w:pPr>
        <w:spacing w:before="0" w:after="60" w:line="274" w:lineRule="auto"/>
        <w:jc w:val="both"/>
      </w:pPr>
      <w:r>
        <w:rPr>
          <w:b/>
          <w:i w:val="0"/>
          <w:color w:val="1F3864"/>
          <w:sz w:val="18"/>
        </w:rPr>
        <w:t>Social licence to operate (SLO).</w:t>
      </w:r>
      <w:r>
        <w:rPr>
          <w:b w:val="0"/>
          <w:i w:val="0"/>
          <w:color w:val="262626"/>
          <w:sz w:val="18"/>
        </w:rPr>
        <w:t xml:space="preserve"> The community-level acceptance an extractive project needs to operate legitimately, beyond the legal licence the state issues. The term emerged from the mining industry in the late 1990s and is now the standard vocabulary in which the relationship between a project and its host community is discussed.</w:t>
      </w:r>
    </w:p>
    <w:p>
      <w:pPr>
        <w:spacing w:before="0" w:after="60" w:line="274" w:lineRule="auto"/>
        <w:jc w:val="both"/>
      </w:pPr>
      <w:r>
        <w:rPr>
          <w:b/>
          <w:i w:val="0"/>
          <w:color w:val="1F3864"/>
          <w:sz w:val="18"/>
        </w:rPr>
        <w:t>The Boutilier pyramid.</w:t>
      </w:r>
      <w:r>
        <w:rPr>
          <w:b w:val="0"/>
          <w:i w:val="0"/>
          <w:color w:val="262626"/>
          <w:sz w:val="18"/>
        </w:rPr>
        <w:t xml:space="preserve"> A four-level model of the project to community relationship: withholding (the community blocks the project), acceptance (tolerated but not endorsed), approval (recognised as legitimate), and identification (treated by the community as part of its own life). Many extractive projects never move beyond acceptance.</w:t>
      </w:r>
    </w:p>
    <w:p>
      <w:pPr>
        <w:spacing w:before="0" w:after="60" w:line="274" w:lineRule="auto"/>
        <w:jc w:val="both"/>
      </w:pPr>
      <w:r>
        <w:rPr>
          <w:b/>
          <w:i w:val="0"/>
          <w:color w:val="1F3864"/>
          <w:sz w:val="18"/>
        </w:rPr>
        <w:t>Structural conditions of legitimacy.</w:t>
      </w:r>
      <w:r>
        <w:rPr>
          <w:b w:val="0"/>
          <w:i w:val="0"/>
          <w:color w:val="262626"/>
          <w:sz w:val="18"/>
        </w:rPr>
        <w:t xml:space="preserve"> The recurring background conditions in an affected community and its regulatory environment that shape whether a project can credibly be judged legitimate. These are deeper than the surface procedural arrangements (consultations, EIA process, ministerial decisions): how information flows, whom people trust, what the economy looks like, what resources are at stake.</w:t>
      </w:r>
    </w:p>
    <w:p>
      <w:pPr>
        <w:spacing w:before="0" w:after="60" w:line="274" w:lineRule="auto"/>
        <w:jc w:val="both"/>
      </w:pPr>
      <w:r>
        <w:rPr>
          <w:b/>
          <w:i w:val="0"/>
          <w:color w:val="1F3864"/>
          <w:sz w:val="18"/>
        </w:rPr>
        <w:t>The four-channel evidentiary discipline.</w:t>
      </w:r>
      <w:r>
        <w:rPr>
          <w:b w:val="0"/>
          <w:i w:val="0"/>
          <w:color w:val="262626"/>
          <w:sz w:val="18"/>
        </w:rPr>
        <w:t xml:space="preserve"> The rule, developed in this report's methodology, about what each kind of evidence can support. Four channels are kept apart: documented organisational positions (Channel One), aggregated community-level patterns (Channel Two), individual informed-observer accounts (Channel Three), and structural absences (Channel Four). Keeping the channels separate prevents one channel's claims from being mistaken for another's.</w:t>
      </w:r>
    </w:p>
    <w:p>
      <w:pPr>
        <w:spacing w:before="0" w:after="60" w:line="274" w:lineRule="auto"/>
        <w:jc w:val="both"/>
      </w:pPr>
      <w:r>
        <w:rPr>
          <w:b/>
          <w:i w:val="0"/>
          <w:color w:val="1F3864"/>
          <w:sz w:val="18"/>
        </w:rPr>
        <w:t>In-situ recovery (ISR) and in-situ leach (ISL).</w:t>
      </w:r>
      <w:r>
        <w:rPr>
          <w:b w:val="0"/>
          <w:i w:val="0"/>
          <w:color w:val="262626"/>
          <w:sz w:val="18"/>
        </w:rPr>
        <w:t xml:space="preserve"> A method of uranium extraction in which a chemical solution is injected into the host aquifer through wells, mobilises the uranium in dissolved form, and is pumped back to the surface for processing. The proponent uses ISR; international scientific literature mostly uses ISL. The two terms describe the same process.</w:t>
      </w:r>
    </w:p>
    <w:p>
      <w:pPr>
        <w:spacing w:before="0" w:after="60" w:line="274" w:lineRule="auto"/>
        <w:jc w:val="both"/>
      </w:pPr>
      <w:r>
        <w:rPr>
          <w:b/>
          <w:i w:val="0"/>
          <w:color w:val="1F3864"/>
          <w:sz w:val="18"/>
        </w:rPr>
        <w:t>The Stampriet Transboundary Aquifer System (STAS).</w:t>
      </w:r>
      <w:r>
        <w:rPr>
          <w:b w:val="0"/>
          <w:i w:val="0"/>
          <w:color w:val="262626"/>
          <w:sz w:val="18"/>
        </w:rPr>
        <w:t xml:space="preserve"> The cross-border groundwater system underlying eastern Namibia, southern Botswana, and the northern Cape of South Africa, and the primary drinking water and pastoralist livelihood resource for Aminuis, Leonardville, and the wider basin communities. The same basin is also termed the Stampriet Artesian Basin (SAB) where the purely geological rather than the transboundary sense is meant.</w:t>
      </w:r>
    </w:p>
    <w:p>
      <w:pPr>
        <w:spacing w:before="0" w:after="60" w:line="274" w:lineRule="auto"/>
        <w:jc w:val="both"/>
      </w:pPr>
      <w:r>
        <w:rPr>
          <w:b/>
          <w:i w:val="0"/>
          <w:color w:val="1F3864"/>
          <w:sz w:val="18"/>
        </w:rPr>
        <w:t>Exclusive Prospecting Licence (EPL).</w:t>
      </w:r>
      <w:r>
        <w:rPr>
          <w:b w:val="0"/>
          <w:i w:val="0"/>
          <w:color w:val="262626"/>
          <w:sz w:val="18"/>
        </w:rPr>
        <w:t xml:space="preserve"> A licence under the Minerals (Prospecting and Mining) Act 33 of 1992 that gives a corporate entity the exclusive right to prospect for a specified mineral within a designated geographical area, for an initial term of three years that may be renewed.</w:t>
      </w:r>
    </w:p>
    <w:p>
      <w:pPr>
        <w:spacing w:before="0" w:after="60" w:line="274" w:lineRule="auto"/>
        <w:jc w:val="both"/>
      </w:pPr>
      <w:r>
        <w:rPr>
          <w:b/>
          <w:i w:val="0"/>
          <w:color w:val="1F3864"/>
          <w:sz w:val="18"/>
        </w:rPr>
        <w:t>Free, Prior and Informed Consent (FPIC).</w:t>
      </w:r>
      <w:r>
        <w:rPr>
          <w:b w:val="0"/>
          <w:i w:val="0"/>
          <w:color w:val="262626"/>
          <w:sz w:val="18"/>
        </w:rPr>
        <w:t xml:space="preserve"> A doctrine in international human-rights and indigenous-rights law that requires consent from affected communities before approving projects that will affect their territories or livelihoods. Consent must be free of coercion, given before the project is approved, and based on full information about what the project entails.</w:t>
      </w:r>
    </w:p>
    <w:p>
      <w:pPr>
        <w:spacing w:before="0" w:after="60" w:line="274" w:lineRule="auto"/>
        <w:jc w:val="both"/>
      </w:pPr>
      <w:r>
        <w:rPr>
          <w:b/>
          <w:i w:val="0"/>
          <w:color w:val="1F3864"/>
          <w:sz w:val="18"/>
        </w:rPr>
        <w:t>Procedural justice and recognition justice.</w:t>
      </w:r>
      <w:r>
        <w:rPr>
          <w:b w:val="0"/>
          <w:i w:val="0"/>
          <w:color w:val="262626"/>
          <w:sz w:val="18"/>
        </w:rPr>
        <w:t xml:space="preserve"> Two distinct dimensions of environmental justice. Procedural justice concerns the fairness of the processes through which decisions about environmental risks and benefits are made. Recognition justice concerns the prior question of whether the affected parties are recognised as parties at all, in social, cultural, and political terms.</w:t>
      </w:r>
    </w:p>
    <w:p>
      <w:pPr>
        <w:spacing w:before="0" w:after="60" w:line="274" w:lineRule="auto"/>
        <w:jc w:val="both"/>
      </w:pPr>
      <w:r>
        <w:rPr>
          <w:b/>
          <w:i w:val="0"/>
          <w:color w:val="1F3864"/>
          <w:sz w:val="18"/>
        </w:rPr>
        <w:t>Plan B.</w:t>
      </w:r>
      <w:r>
        <w:rPr>
          <w:b w:val="0"/>
          <w:i w:val="0"/>
          <w:color w:val="262626"/>
          <w:sz w:val="18"/>
        </w:rPr>
        <w:t xml:space="preserve"> The package of arrangements that would be required if a project's risk-mitigation measures failed: an alternative water supply, a compensation pathway for affected livelihoods, an emergency response framework, and clarity about which institutions are responsible for each. The phrase enters the report from a key informant interview and recurs across the focus groups to name a structural absence in the proponent's planning.</w:t>
      </w:r>
    </w:p>
    <w:p>
      <w:pPr>
        <w:spacing w:before="0" w:after="60" w:line="274" w:lineRule="auto"/>
        <w:jc w:val="both"/>
      </w:pPr>
      <w:r>
        <w:rPr>
          <w:b/>
          <w:i w:val="0"/>
          <w:color w:val="1F3864"/>
          <w:sz w:val="18"/>
        </w:rPr>
        <w:t>Place attachment.</w:t>
      </w:r>
      <w:r>
        <w:rPr>
          <w:b w:val="0"/>
          <w:i w:val="0"/>
          <w:color w:val="262626"/>
          <w:sz w:val="18"/>
        </w:rPr>
        <w:t xml:space="preserve"> The emotional, cultural, and experiential bonds that develop through long-term occupation of a particular landscape. International scholarship treats place attachment as a structural variable in how communities respond to environmental threat, and in this case it is the substrate of the refusal positions documented in the Aminuis focus groups.</w:t>
      </w:r>
    </w:p>
    <w:p>
      <w:pPr>
        <w:spacing w:before="0" w:after="60" w:line="274" w:lineRule="auto"/>
        <w:jc w:val="both"/>
      </w:pPr>
      <w:r>
        <w:rPr>
          <w:b/>
          <w:i w:val="0"/>
          <w:color w:val="1F3864"/>
          <w:sz w:val="18"/>
        </w:rPr>
        <w:t>The Aminuis to Leonardville gradient.</w:t>
      </w:r>
      <w:r>
        <w:rPr>
          <w:b w:val="0"/>
          <w:i w:val="0"/>
          <w:color w:val="262626"/>
          <w:sz w:val="18"/>
        </w:rPr>
        <w:t xml:space="preserve"> The differential way in which the same structural conditions of legitimacy show up in the two principal host communities. The gradient runs not on different values or different vulnerabilities but on different histories of contact with the proponent. It is not a polarisation; the two communities share many of the same fundamental concerns about water, place, and the project's procedural conduct.</w:t>
      </w:r>
    </w:p>
    <w:p>
      <w:pPr>
        <w:spacing w:before="0" w:after="0" w:line="283" w:lineRule="auto"/>
        <w:jc w:val="both"/>
      </w:pPr>
      <w:r>
        <w:rPr>
          <w:b w:val="0"/>
          <w:i/>
          <w:color w:val="595959"/>
          <w:sz w:val="18"/>
        </w:rPr>
        <w:t>A consolidated list of abbreviations follows in the front matter. Sources for each concept are given in the chapter where the concept does its analytical work, principally Chapters 3 and 4.</w:t>
      </w:r>
    </w:p>
    <w:p>
      <w:r>
        <w:br w:type="page"/>
      </w:r>
    </w:p>
    <w:p>
      <w:pPr>
        <w:spacing w:before="360" w:after="200"/>
      </w:pPr>
      <w:r>
        <w:rPr>
          <w:b/>
          <w:color w:val="1F3864"/>
          <w:sz w:val="32"/>
        </w:rPr>
        <w:t>TABLE OF CONTENTS</w:t>
      </w:r>
    </w:p>
    <w:p>
      <w:r>
        <w:rPr>
          <w:i/>
          <w:color w:val="595959"/>
          <w:sz w:val="20"/>
        </w:rPr>
        <w:t>The page numbers below are placeholders. They will be populated when the report is assembled into the final compiled document and Word's automatic table-of-contents facility is run.</w:t>
      </w:r>
    </w:p>
    <w:p/>
    <w:p>
      <w:pPr>
        <w:spacing w:after="40"/>
        <w:ind w:left="0"/>
      </w:pPr>
      <w:r>
        <w:rPr>
          <w:b/>
          <w:color w:val="1F3864"/>
          <w:sz w:val="24"/>
        </w:rPr>
        <w:t>Front matter</w:t>
      </w:r>
    </w:p>
    <w:p>
      <w:pPr>
        <w:spacing w:after="40"/>
        <w:ind w:left="283"/>
      </w:pPr>
      <w:r>
        <w:rPr>
          <w:color w:val="262626"/>
          <w:sz w:val="22"/>
        </w:rPr>
        <w:t>Draft notice</w:t>
      </w:r>
      <w:r>
        <w:rPr>
          <w:color w:val="595959"/>
          <w:sz w:val="22"/>
        </w:rPr>
        <w:tab/>
        <w:t>[p.]</w:t>
      </w:r>
    </w:p>
    <w:p>
      <w:pPr>
        <w:spacing w:after="40"/>
        <w:ind w:left="283"/>
      </w:pPr>
      <w:r>
        <w:rPr>
          <w:color w:val="262626"/>
          <w:sz w:val="22"/>
        </w:rPr>
        <w:t>Reader's Orientation</w:t>
      </w:r>
      <w:r>
        <w:rPr>
          <w:color w:val="595959"/>
          <w:sz w:val="22"/>
        </w:rPr>
        <w:tab/>
        <w:t>[p.]</w:t>
      </w:r>
    </w:p>
    <w:p>
      <w:pPr>
        <w:spacing w:after="40"/>
        <w:ind w:left="283"/>
      </w:pPr>
      <w:r>
        <w:rPr>
          <w:color w:val="262626"/>
          <w:sz w:val="22"/>
        </w:rPr>
        <w:t>Executive summary</w:t>
      </w:r>
      <w:r>
        <w:rPr>
          <w:color w:val="595959"/>
          <w:sz w:val="22"/>
        </w:rPr>
        <w:tab/>
        <w:t>[p.]</w:t>
      </w:r>
    </w:p>
    <w:p>
      <w:pPr>
        <w:spacing w:after="40"/>
        <w:ind w:left="283"/>
      </w:pPr>
      <w:r>
        <w:rPr>
          <w:color w:val="262626"/>
          <w:sz w:val="22"/>
        </w:rPr>
        <w:t>Table of contents</w:t>
      </w:r>
      <w:r>
        <w:rPr>
          <w:color w:val="595959"/>
          <w:sz w:val="22"/>
        </w:rPr>
        <w:tab/>
        <w:t>[p.]</w:t>
      </w:r>
    </w:p>
    <w:p>
      <w:pPr>
        <w:spacing w:after="40"/>
        <w:ind w:left="283"/>
      </w:pPr>
      <w:r>
        <w:rPr>
          <w:color w:val="262626"/>
          <w:sz w:val="22"/>
        </w:rPr>
        <w:t>List of figures</w:t>
      </w:r>
      <w:r>
        <w:rPr>
          <w:color w:val="595959"/>
          <w:sz w:val="22"/>
        </w:rPr>
        <w:tab/>
        <w:t>[p.]</w:t>
      </w:r>
    </w:p>
    <w:p>
      <w:pPr>
        <w:spacing w:after="40"/>
        <w:ind w:left="283"/>
      </w:pPr>
      <w:r>
        <w:rPr>
          <w:color w:val="262626"/>
          <w:sz w:val="22"/>
        </w:rPr>
        <w:t>List of abbreviations</w:t>
      </w:r>
      <w:r>
        <w:rPr>
          <w:color w:val="595959"/>
          <w:sz w:val="22"/>
        </w:rPr>
        <w:tab/>
        <w:t>[p.]</w:t>
      </w:r>
    </w:p>
    <w:p/>
    <w:p>
      <w:pPr>
        <w:spacing w:after="40"/>
        <w:ind w:left="0"/>
      </w:pPr>
      <w:r>
        <w:rPr>
          <w:b/>
          <w:color w:val="1F3864"/>
          <w:sz w:val="24"/>
        </w:rPr>
        <w:t>Chapter 1  Introduction</w:t>
      </w:r>
      <w:r>
        <w:rPr>
          <w:color w:val="595959"/>
          <w:sz w:val="22"/>
        </w:rPr>
        <w:tab/>
        <w:t>[p.]</w:t>
      </w:r>
    </w:p>
    <w:p>
      <w:pPr>
        <w:spacing w:after="40"/>
        <w:ind w:left="283"/>
      </w:pPr>
      <w:r>
        <w:rPr>
          <w:color w:val="262626"/>
          <w:sz w:val="22"/>
        </w:rPr>
        <w:t>1.1  The case in brief</w:t>
      </w:r>
      <w:r>
        <w:rPr>
          <w:color w:val="595959"/>
          <w:sz w:val="22"/>
        </w:rPr>
        <w:tab/>
        <w:t>[p.]</w:t>
      </w:r>
    </w:p>
    <w:p>
      <w:pPr>
        <w:spacing w:after="40"/>
        <w:ind w:left="283"/>
      </w:pPr>
      <w:r>
        <w:rPr>
          <w:color w:val="262626"/>
          <w:sz w:val="22"/>
        </w:rPr>
        <w:t>1.2  The research problem</w:t>
      </w:r>
      <w:r>
        <w:rPr>
          <w:color w:val="595959"/>
          <w:sz w:val="22"/>
        </w:rPr>
        <w:tab/>
        <w:t>[p.]</w:t>
      </w:r>
    </w:p>
    <w:p>
      <w:pPr>
        <w:spacing w:after="40"/>
        <w:ind w:left="283"/>
      </w:pPr>
      <w:r>
        <w:rPr>
          <w:color w:val="262626"/>
          <w:sz w:val="22"/>
        </w:rPr>
        <w:t>1.3  The research question</w:t>
      </w:r>
      <w:r>
        <w:rPr>
          <w:color w:val="595959"/>
          <w:sz w:val="22"/>
        </w:rPr>
        <w:tab/>
        <w:t>[p.]</w:t>
      </w:r>
    </w:p>
    <w:p>
      <w:pPr>
        <w:spacing w:after="40"/>
        <w:ind w:left="283"/>
      </w:pPr>
      <w:r>
        <w:rPr>
          <w:color w:val="262626"/>
          <w:sz w:val="22"/>
        </w:rPr>
        <w:t>1.4  The report's contribution</w:t>
      </w:r>
      <w:r>
        <w:rPr>
          <w:color w:val="595959"/>
          <w:sz w:val="22"/>
        </w:rPr>
        <w:tab/>
        <w:t>[p.]</w:t>
      </w:r>
    </w:p>
    <w:p>
      <w:pPr>
        <w:spacing w:after="40"/>
        <w:ind w:left="283"/>
      </w:pPr>
      <w:r>
        <w:rPr>
          <w:color w:val="262626"/>
          <w:sz w:val="22"/>
        </w:rPr>
        <w:t>1.5  Audiences and use</w:t>
      </w:r>
      <w:r>
        <w:rPr>
          <w:color w:val="595959"/>
          <w:sz w:val="22"/>
        </w:rPr>
        <w:tab/>
        <w:t>[p.]</w:t>
      </w:r>
    </w:p>
    <w:p>
      <w:pPr>
        <w:spacing w:after="40"/>
        <w:ind w:left="283"/>
      </w:pPr>
      <w:r>
        <w:rPr>
          <w:color w:val="262626"/>
          <w:sz w:val="22"/>
        </w:rPr>
        <w:t>1.6  The structure of the report</w:t>
      </w:r>
      <w:r>
        <w:rPr>
          <w:color w:val="595959"/>
          <w:sz w:val="22"/>
        </w:rPr>
        <w:tab/>
        <w:t>[p.]</w:t>
      </w:r>
    </w:p>
    <w:p>
      <w:pPr>
        <w:spacing w:after="40"/>
        <w:ind w:left="283"/>
      </w:pPr>
      <w:r>
        <w:rPr>
          <w:color w:val="262626"/>
          <w:sz w:val="22"/>
        </w:rPr>
        <w:t>1.7  A note on terminology, conventions, limits, and disclosure</w:t>
      </w:r>
      <w:r>
        <w:rPr>
          <w:color w:val="595959"/>
          <w:sz w:val="22"/>
        </w:rPr>
        <w:tab/>
        <w:t>[p.]</w:t>
      </w:r>
    </w:p>
    <w:p>
      <w:pPr>
        <w:spacing w:after="40"/>
        <w:ind w:left="0"/>
      </w:pPr>
      <w:r>
        <w:rPr>
          <w:b/>
          <w:color w:val="1F3864"/>
          <w:sz w:val="24"/>
        </w:rPr>
        <w:t>Chapter 2  Context</w:t>
      </w:r>
      <w:r>
        <w:rPr>
          <w:color w:val="595959"/>
          <w:sz w:val="22"/>
        </w:rPr>
        <w:tab/>
        <w:t>[p.]</w:t>
      </w:r>
    </w:p>
    <w:p>
      <w:pPr>
        <w:spacing w:after="40"/>
        <w:ind w:left="283"/>
      </w:pPr>
      <w:r>
        <w:rPr>
          <w:color w:val="262626"/>
          <w:sz w:val="22"/>
        </w:rPr>
        <w:t>2.1  The STAS: hydrogeology and geography</w:t>
      </w:r>
      <w:r>
        <w:rPr>
          <w:color w:val="595959"/>
          <w:sz w:val="22"/>
        </w:rPr>
        <w:tab/>
        <w:t>[p.]</w:t>
      </w:r>
    </w:p>
    <w:p>
      <w:pPr>
        <w:spacing w:after="40"/>
        <w:ind w:left="283"/>
      </w:pPr>
      <w:r>
        <w:rPr>
          <w:color w:val="262626"/>
          <w:sz w:val="22"/>
        </w:rPr>
        <w:t>2.2  The Headspring Investments project and the ISR technology</w:t>
      </w:r>
      <w:r>
        <w:rPr>
          <w:color w:val="595959"/>
          <w:sz w:val="22"/>
        </w:rPr>
        <w:tab/>
        <w:t>[p.]</w:t>
      </w:r>
    </w:p>
    <w:p>
      <w:pPr>
        <w:spacing w:after="40"/>
        <w:ind w:left="283"/>
      </w:pPr>
      <w:r>
        <w:rPr>
          <w:color w:val="262626"/>
          <w:sz w:val="22"/>
        </w:rPr>
        <w:t>2.3  The basin-wide EPL programme</w:t>
      </w:r>
      <w:r>
        <w:rPr>
          <w:color w:val="595959"/>
          <w:sz w:val="22"/>
        </w:rPr>
        <w:tab/>
        <w:t>[p.]</w:t>
      </w:r>
    </w:p>
    <w:p>
      <w:pPr>
        <w:spacing w:after="40"/>
        <w:ind w:left="283"/>
      </w:pPr>
      <w:r>
        <w:rPr>
          <w:color w:val="262626"/>
          <w:sz w:val="22"/>
        </w:rPr>
        <w:t>2.4  The Namibian regulatory landscape</w:t>
      </w:r>
      <w:r>
        <w:rPr>
          <w:color w:val="595959"/>
          <w:sz w:val="22"/>
        </w:rPr>
        <w:tab/>
        <w:t>[p.]</w:t>
      </w:r>
    </w:p>
    <w:p>
      <w:pPr>
        <w:spacing w:after="40"/>
        <w:ind w:left="283"/>
      </w:pPr>
      <w:r>
        <w:rPr>
          <w:color w:val="262626"/>
          <w:sz w:val="22"/>
        </w:rPr>
        <w:t>2.5  The host communities and the wider STAS-area population and economy</w:t>
      </w:r>
      <w:r>
        <w:rPr>
          <w:color w:val="595959"/>
          <w:sz w:val="22"/>
        </w:rPr>
        <w:tab/>
        <w:t>[p.]</w:t>
      </w:r>
    </w:p>
    <w:p>
      <w:pPr>
        <w:spacing w:after="40"/>
        <w:ind w:left="567"/>
      </w:pPr>
      <w:r>
        <w:rPr>
          <w:color w:val="262626"/>
          <w:sz w:val="22"/>
        </w:rPr>
        <w:t>2.5.1  The Omaheke regional profile</w:t>
      </w:r>
      <w:r>
        <w:rPr>
          <w:color w:val="595959"/>
          <w:sz w:val="22"/>
        </w:rPr>
        <w:tab/>
        <w:t>[p.]</w:t>
      </w:r>
    </w:p>
    <w:p>
      <w:pPr>
        <w:spacing w:after="40"/>
        <w:ind w:left="567"/>
      </w:pPr>
      <w:r>
        <w:rPr>
          <w:color w:val="262626"/>
          <w:sz w:val="22"/>
        </w:rPr>
        <w:t>2.5.2  The host communities: Aminuis and Leonardville</w:t>
      </w:r>
      <w:r>
        <w:rPr>
          <w:color w:val="595959"/>
          <w:sz w:val="22"/>
        </w:rPr>
        <w:tab/>
        <w:t>[p.]</w:t>
      </w:r>
    </w:p>
    <w:p>
      <w:pPr>
        <w:spacing w:after="40"/>
        <w:ind w:left="567"/>
      </w:pPr>
      <w:r>
        <w:rPr>
          <w:color w:val="262626"/>
          <w:sz w:val="22"/>
        </w:rPr>
        <w:t>2.5.3  The wider STAS-area towns</w:t>
      </w:r>
      <w:r>
        <w:rPr>
          <w:color w:val="595959"/>
          <w:sz w:val="22"/>
        </w:rPr>
        <w:tab/>
        <w:t>[p.]</w:t>
      </w:r>
    </w:p>
    <w:p>
      <w:pPr>
        <w:spacing w:after="40"/>
        <w:ind w:left="567"/>
      </w:pPr>
      <w:r>
        <w:rPr>
          <w:color w:val="262626"/>
          <w:sz w:val="22"/>
        </w:rPr>
        <w:t>2.5.4  The basin economy</w:t>
      </w:r>
      <w:r>
        <w:rPr>
          <w:color w:val="595959"/>
          <w:sz w:val="22"/>
        </w:rPr>
        <w:tab/>
        <w:t>[p.]</w:t>
      </w:r>
    </w:p>
    <w:p>
      <w:pPr>
        <w:spacing w:after="40"/>
        <w:ind w:left="567"/>
      </w:pPr>
      <w:r>
        <w:rPr>
          <w:color w:val="262626"/>
          <w:sz w:val="22"/>
        </w:rPr>
        <w:t>2.5.5  Labour-force and unemployment</w:t>
      </w:r>
      <w:r>
        <w:rPr>
          <w:color w:val="595959"/>
          <w:sz w:val="22"/>
        </w:rPr>
        <w:tab/>
        <w:t>[p.]</w:t>
      </w:r>
    </w:p>
    <w:p>
      <w:pPr>
        <w:spacing w:after="40"/>
        <w:ind w:left="567"/>
      </w:pPr>
      <w:r>
        <w:rPr>
          <w:color w:val="262626"/>
          <w:sz w:val="22"/>
        </w:rPr>
        <w:t>2.5.6  The wider transboundary basin population</w:t>
      </w:r>
      <w:r>
        <w:rPr>
          <w:color w:val="595959"/>
          <w:sz w:val="22"/>
        </w:rPr>
        <w:tab/>
        <w:t>[p.]</w:t>
      </w:r>
    </w:p>
    <w:p>
      <w:pPr>
        <w:spacing w:after="40"/>
        <w:ind w:left="283"/>
      </w:pPr>
      <w:r>
        <w:rPr>
          <w:color w:val="262626"/>
          <w:sz w:val="22"/>
        </w:rPr>
        <w:t>2.6  The Russian-Namibian diplomatic context</w:t>
      </w:r>
      <w:r>
        <w:rPr>
          <w:color w:val="595959"/>
          <w:sz w:val="22"/>
        </w:rPr>
        <w:tab/>
        <w:t>[p.]</w:t>
      </w:r>
    </w:p>
    <w:p>
      <w:pPr>
        <w:spacing w:after="40"/>
        <w:ind w:left="0"/>
      </w:pPr>
      <w:r>
        <w:rPr>
          <w:b/>
          <w:color w:val="1F3864"/>
          <w:sz w:val="24"/>
        </w:rPr>
        <w:t>Chapter 3  Literature review</w:t>
      </w:r>
      <w:r>
        <w:rPr>
          <w:color w:val="595959"/>
          <w:sz w:val="22"/>
        </w:rPr>
        <w:tab/>
        <w:t>[p.]</w:t>
      </w:r>
    </w:p>
    <w:p>
      <w:pPr>
        <w:spacing w:after="40"/>
        <w:ind w:left="283"/>
      </w:pPr>
      <w:r>
        <w:rPr>
          <w:color w:val="262626"/>
          <w:sz w:val="22"/>
        </w:rPr>
        <w:t>3.1  Introduction: four literatures and one case</w:t>
      </w:r>
      <w:r>
        <w:rPr>
          <w:color w:val="595959"/>
          <w:sz w:val="22"/>
        </w:rPr>
        <w:tab/>
        <w:t>[p.]</w:t>
      </w:r>
    </w:p>
    <w:p>
      <w:pPr>
        <w:spacing w:after="40"/>
        <w:ind w:left="283"/>
      </w:pPr>
      <w:r>
        <w:rPr>
          <w:color w:val="262626"/>
          <w:sz w:val="22"/>
        </w:rPr>
        <w:t>3.2  Social licence to operate</w:t>
      </w:r>
      <w:r>
        <w:rPr>
          <w:color w:val="595959"/>
          <w:sz w:val="22"/>
        </w:rPr>
        <w:tab/>
        <w:t>[p.]</w:t>
      </w:r>
    </w:p>
    <w:p>
      <w:pPr>
        <w:spacing w:after="40"/>
        <w:ind w:left="283"/>
      </w:pPr>
      <w:r>
        <w:rPr>
          <w:color w:val="262626"/>
          <w:sz w:val="22"/>
        </w:rPr>
        <w:t>3.3  Procedural justice, recognition justice, FPIC, and the right to water</w:t>
      </w:r>
      <w:r>
        <w:rPr>
          <w:color w:val="595959"/>
          <w:sz w:val="22"/>
        </w:rPr>
        <w:tab/>
        <w:t>[p.]</w:t>
      </w:r>
    </w:p>
    <w:p>
      <w:pPr>
        <w:spacing w:after="40"/>
        <w:ind w:left="283"/>
      </w:pPr>
      <w:r>
        <w:rPr>
          <w:color w:val="262626"/>
          <w:sz w:val="22"/>
        </w:rPr>
        <w:t>3.4  Extractive governance and regulatory design</w:t>
      </w:r>
      <w:r>
        <w:rPr>
          <w:color w:val="595959"/>
          <w:sz w:val="22"/>
        </w:rPr>
        <w:tab/>
        <w:t>[p.]</w:t>
      </w:r>
    </w:p>
    <w:p>
      <w:pPr>
        <w:spacing w:after="40"/>
        <w:ind w:left="283"/>
      </w:pPr>
      <w:r>
        <w:rPr>
          <w:color w:val="262626"/>
          <w:sz w:val="22"/>
        </w:rPr>
        <w:t>3.5  Transboundary groundwater law and aquifer governance</w:t>
      </w:r>
      <w:r>
        <w:rPr>
          <w:color w:val="595959"/>
          <w:sz w:val="22"/>
        </w:rPr>
        <w:tab/>
        <w:t>[p.]</w:t>
      </w:r>
    </w:p>
    <w:p>
      <w:pPr>
        <w:spacing w:after="40"/>
        <w:ind w:left="283"/>
      </w:pPr>
      <w:r>
        <w:rPr>
          <w:color w:val="262626"/>
          <w:sz w:val="22"/>
        </w:rPr>
        <w:t>3.6  Conclusion</w:t>
      </w:r>
      <w:r>
        <w:rPr>
          <w:color w:val="595959"/>
          <w:sz w:val="22"/>
        </w:rPr>
        <w:tab/>
        <w:t>[p.]</w:t>
      </w:r>
    </w:p>
    <w:p>
      <w:pPr>
        <w:spacing w:after="40"/>
        <w:ind w:left="0"/>
      </w:pPr>
      <w:r>
        <w:rPr>
          <w:b/>
          <w:color w:val="1F3864"/>
          <w:sz w:val="24"/>
        </w:rPr>
        <w:t>Chapter 4  Methodology</w:t>
      </w:r>
      <w:r>
        <w:rPr>
          <w:color w:val="595959"/>
          <w:sz w:val="22"/>
        </w:rPr>
        <w:tab/>
        <w:t>[p.]</w:t>
      </w:r>
    </w:p>
    <w:p>
      <w:pPr>
        <w:spacing w:after="40"/>
        <w:ind w:left="283"/>
      </w:pPr>
      <w:r>
        <w:rPr>
          <w:color w:val="262626"/>
          <w:sz w:val="22"/>
        </w:rPr>
        <w:t>4.1  Introduction: methodology and the case</w:t>
      </w:r>
      <w:r>
        <w:rPr>
          <w:color w:val="595959"/>
          <w:sz w:val="22"/>
        </w:rPr>
        <w:tab/>
        <w:t>[p.]</w:t>
      </w:r>
    </w:p>
    <w:p>
      <w:pPr>
        <w:spacing w:after="40"/>
        <w:ind w:left="283"/>
      </w:pPr>
      <w:r>
        <w:rPr>
          <w:color w:val="262626"/>
          <w:sz w:val="22"/>
        </w:rPr>
        <w:t>4.2  Research design: hybrid directed-inductive thematic analysis</w:t>
      </w:r>
      <w:r>
        <w:rPr>
          <w:color w:val="595959"/>
          <w:sz w:val="22"/>
        </w:rPr>
        <w:tab/>
        <w:t>[p.]</w:t>
      </w:r>
    </w:p>
    <w:p>
      <w:pPr>
        <w:spacing w:after="40"/>
        <w:ind w:left="283"/>
      </w:pPr>
      <w:r>
        <w:rPr>
          <w:color w:val="262626"/>
          <w:sz w:val="22"/>
        </w:rPr>
        <w:t>4.3  The four-channel evidentiary discipline</w:t>
      </w:r>
      <w:r>
        <w:rPr>
          <w:color w:val="595959"/>
          <w:sz w:val="22"/>
        </w:rPr>
        <w:tab/>
        <w:t>[p.]</w:t>
      </w:r>
    </w:p>
    <w:p>
      <w:pPr>
        <w:spacing w:after="40"/>
        <w:ind w:left="283"/>
      </w:pPr>
      <w:r>
        <w:rPr>
          <w:color w:val="262626"/>
          <w:sz w:val="22"/>
        </w:rPr>
        <w:t>4.4  Sampling and recruitment</w:t>
      </w:r>
      <w:r>
        <w:rPr>
          <w:color w:val="595959"/>
          <w:sz w:val="22"/>
        </w:rPr>
        <w:tab/>
        <w:t>[p.]</w:t>
      </w:r>
    </w:p>
    <w:p>
      <w:pPr>
        <w:spacing w:after="40"/>
        <w:ind w:left="283"/>
      </w:pPr>
      <w:r>
        <w:rPr>
          <w:color w:val="262626"/>
          <w:sz w:val="22"/>
        </w:rPr>
        <w:t>4.5  Fieldwork conduct</w:t>
      </w:r>
      <w:r>
        <w:rPr>
          <w:color w:val="595959"/>
          <w:sz w:val="22"/>
        </w:rPr>
        <w:tab/>
        <w:t>[p.]</w:t>
      </w:r>
    </w:p>
    <w:p>
      <w:pPr>
        <w:spacing w:after="40"/>
        <w:ind w:left="283"/>
      </w:pPr>
      <w:r>
        <w:rPr>
          <w:color w:val="262626"/>
          <w:sz w:val="22"/>
        </w:rPr>
        <w:t>4.6  Documentary methodology</w:t>
      </w:r>
      <w:r>
        <w:rPr>
          <w:color w:val="595959"/>
          <w:sz w:val="22"/>
        </w:rPr>
        <w:tab/>
        <w:t>[p.]</w:t>
      </w:r>
    </w:p>
    <w:p>
      <w:pPr>
        <w:spacing w:after="40"/>
        <w:ind w:left="283"/>
      </w:pPr>
      <w:r>
        <w:rPr>
          <w:color w:val="262626"/>
          <w:sz w:val="22"/>
        </w:rPr>
        <w:t>4.7  Analysis: codebook and analytical procedure</w:t>
      </w:r>
      <w:r>
        <w:rPr>
          <w:color w:val="595959"/>
          <w:sz w:val="22"/>
        </w:rPr>
        <w:tab/>
        <w:t>[p.]</w:t>
      </w:r>
    </w:p>
    <w:p>
      <w:pPr>
        <w:spacing w:after="40"/>
        <w:ind w:left="283"/>
      </w:pPr>
      <w:r>
        <w:rPr>
          <w:color w:val="262626"/>
          <w:sz w:val="22"/>
        </w:rPr>
        <w:t>4.8  Ethics</w:t>
      </w:r>
      <w:r>
        <w:rPr>
          <w:color w:val="595959"/>
          <w:sz w:val="22"/>
        </w:rPr>
        <w:tab/>
        <w:t>[p.]</w:t>
      </w:r>
    </w:p>
    <w:p>
      <w:pPr>
        <w:spacing w:after="40"/>
        <w:ind w:left="283"/>
      </w:pPr>
      <w:r>
        <w:rPr>
          <w:color w:val="262626"/>
          <w:sz w:val="22"/>
        </w:rPr>
        <w:t>4.9  Reflexivity and positionality</w:t>
      </w:r>
      <w:r>
        <w:rPr>
          <w:color w:val="595959"/>
          <w:sz w:val="22"/>
        </w:rPr>
        <w:tab/>
        <w:t>[p.]</w:t>
      </w:r>
    </w:p>
    <w:p>
      <w:pPr>
        <w:spacing w:after="40"/>
        <w:ind w:left="283"/>
      </w:pPr>
      <w:r>
        <w:rPr>
          <w:color w:val="262626"/>
          <w:sz w:val="22"/>
        </w:rPr>
        <w:t>4.10  Limitations: a preview of §7.6</w:t>
      </w:r>
      <w:r>
        <w:rPr>
          <w:color w:val="595959"/>
          <w:sz w:val="22"/>
        </w:rPr>
        <w:tab/>
        <w:t>[p.]</w:t>
      </w:r>
    </w:p>
    <w:p>
      <w:pPr>
        <w:spacing w:after="40"/>
        <w:ind w:left="283"/>
      </w:pPr>
      <w:r>
        <w:rPr>
          <w:color w:val="262626"/>
          <w:sz w:val="22"/>
        </w:rPr>
        <w:t>4.11  Conclusion</w:t>
      </w:r>
      <w:r>
        <w:rPr>
          <w:color w:val="595959"/>
          <w:sz w:val="22"/>
        </w:rPr>
        <w:tab/>
        <w:t>[p.]</w:t>
      </w:r>
    </w:p>
    <w:p>
      <w:pPr>
        <w:spacing w:after="40"/>
        <w:ind w:left="0"/>
      </w:pPr>
      <w:r>
        <w:rPr>
          <w:b/>
          <w:color w:val="1F3864"/>
          <w:sz w:val="24"/>
        </w:rPr>
        <w:t>Chapter 5  Structural conditions of legitimacy</w:t>
      </w:r>
      <w:r>
        <w:rPr>
          <w:color w:val="595959"/>
          <w:sz w:val="22"/>
        </w:rPr>
        <w:tab/>
        <w:t>[p.]</w:t>
      </w:r>
    </w:p>
    <w:p>
      <w:pPr>
        <w:spacing w:after="40"/>
        <w:ind w:left="283"/>
      </w:pPr>
      <w:r>
        <w:rPr>
          <w:color w:val="262626"/>
          <w:sz w:val="22"/>
        </w:rPr>
        <w:t>5.1  Introduction</w:t>
      </w:r>
      <w:r>
        <w:rPr>
          <w:color w:val="595959"/>
          <w:sz w:val="22"/>
        </w:rPr>
        <w:tab/>
        <w:t>[p.]</w:t>
      </w:r>
    </w:p>
    <w:p>
      <w:pPr>
        <w:spacing w:after="40"/>
        <w:ind w:left="283"/>
      </w:pPr>
      <w:r>
        <w:rPr>
          <w:color w:val="262626"/>
          <w:sz w:val="22"/>
        </w:rPr>
        <w:t>5.2  The information environment</w:t>
      </w:r>
      <w:r>
        <w:rPr>
          <w:color w:val="595959"/>
          <w:sz w:val="22"/>
        </w:rPr>
        <w:tab/>
        <w:t>[p.]</w:t>
      </w:r>
    </w:p>
    <w:p>
      <w:pPr>
        <w:spacing w:after="40"/>
        <w:ind w:left="283"/>
      </w:pPr>
      <w:r>
        <w:rPr>
          <w:color w:val="262626"/>
          <w:sz w:val="22"/>
        </w:rPr>
        <w:t>5.3  The trust environment</w:t>
      </w:r>
      <w:r>
        <w:rPr>
          <w:color w:val="595959"/>
          <w:sz w:val="22"/>
        </w:rPr>
        <w:tab/>
        <w:t>[p.]</w:t>
      </w:r>
    </w:p>
    <w:p>
      <w:pPr>
        <w:spacing w:after="40"/>
        <w:ind w:left="283"/>
      </w:pPr>
      <w:r>
        <w:rPr>
          <w:color w:val="262626"/>
          <w:sz w:val="22"/>
        </w:rPr>
        <w:t>5.4  Poverty, service deficits, and the political economy of openness</w:t>
      </w:r>
      <w:r>
        <w:rPr>
          <w:color w:val="595959"/>
          <w:sz w:val="22"/>
        </w:rPr>
        <w:tab/>
        <w:t>[p.]</w:t>
      </w:r>
    </w:p>
    <w:p>
      <w:pPr>
        <w:spacing w:after="40"/>
        <w:ind w:left="283"/>
      </w:pPr>
      <w:r>
        <w:rPr>
          <w:color w:val="262626"/>
          <w:sz w:val="22"/>
        </w:rPr>
        <w:t>5.5  Water as a non-substitutable resource</w:t>
      </w:r>
      <w:r>
        <w:rPr>
          <w:color w:val="595959"/>
          <w:sz w:val="22"/>
        </w:rPr>
        <w:tab/>
        <w:t>[p.]</w:t>
      </w:r>
    </w:p>
    <w:p>
      <w:pPr>
        <w:spacing w:after="40"/>
        <w:ind w:left="283"/>
      </w:pPr>
      <w:r>
        <w:rPr>
          <w:color w:val="262626"/>
          <w:sz w:val="22"/>
        </w:rPr>
        <w:t>5.6  Place attachment and non-relocability</w:t>
      </w:r>
      <w:r>
        <w:rPr>
          <w:color w:val="595959"/>
          <w:sz w:val="22"/>
        </w:rPr>
        <w:tab/>
        <w:t>[p.]</w:t>
      </w:r>
    </w:p>
    <w:p>
      <w:pPr>
        <w:spacing w:after="40"/>
        <w:ind w:left="283"/>
      </w:pPr>
      <w:r>
        <w:rPr>
          <w:color w:val="262626"/>
          <w:sz w:val="22"/>
        </w:rPr>
        <w:t>5.7  The Aminuis to Leonardville gradient</w:t>
      </w:r>
      <w:r>
        <w:rPr>
          <w:color w:val="595959"/>
          <w:sz w:val="22"/>
        </w:rPr>
        <w:tab/>
        <w:t>[p.]</w:t>
      </w:r>
    </w:p>
    <w:p>
      <w:pPr>
        <w:spacing w:after="40"/>
        <w:ind w:left="283"/>
      </w:pPr>
      <w:r>
        <w:rPr>
          <w:color w:val="262626"/>
          <w:sz w:val="22"/>
        </w:rPr>
        <w:t>5.8  Conclusion: a layered legitimacy environment</w:t>
      </w:r>
      <w:r>
        <w:rPr>
          <w:color w:val="595959"/>
          <w:sz w:val="22"/>
        </w:rPr>
        <w:tab/>
        <w:t>[p.]</w:t>
      </w:r>
    </w:p>
    <w:p>
      <w:pPr>
        <w:spacing w:after="40"/>
        <w:ind w:left="0"/>
      </w:pPr>
      <w:r>
        <w:rPr>
          <w:b/>
          <w:color w:val="1F3864"/>
          <w:sz w:val="24"/>
        </w:rPr>
        <w:t>Chapter 6  The architecture of positions, observations, and absences</w:t>
      </w:r>
      <w:r>
        <w:rPr>
          <w:color w:val="595959"/>
          <w:sz w:val="22"/>
        </w:rPr>
        <w:tab/>
        <w:t>[p.]</w:t>
      </w:r>
    </w:p>
    <w:p>
      <w:pPr>
        <w:spacing w:after="40"/>
        <w:ind w:left="283"/>
      </w:pPr>
      <w:r>
        <w:rPr>
          <w:color w:val="262626"/>
          <w:sz w:val="22"/>
        </w:rPr>
        <w:t>6.1  Introduction and methodological framing</w:t>
      </w:r>
      <w:r>
        <w:rPr>
          <w:color w:val="595959"/>
          <w:sz w:val="22"/>
        </w:rPr>
        <w:tab/>
        <w:t>[p.]</w:t>
      </w:r>
    </w:p>
    <w:p>
      <w:pPr>
        <w:spacing w:after="40"/>
        <w:ind w:left="283"/>
      </w:pPr>
      <w:r>
        <w:rPr>
          <w:color w:val="262626"/>
          <w:sz w:val="22"/>
        </w:rPr>
        <w:t>6.2  Documented organisational positions in the public record</w:t>
      </w:r>
      <w:r>
        <w:rPr>
          <w:color w:val="595959"/>
          <w:sz w:val="22"/>
        </w:rPr>
        <w:tab/>
        <w:t>[p.]</w:t>
      </w:r>
    </w:p>
    <w:p>
      <w:pPr>
        <w:spacing w:after="40"/>
        <w:ind w:left="283"/>
      </w:pPr>
      <w:r>
        <w:rPr>
          <w:color w:val="262626"/>
          <w:sz w:val="22"/>
        </w:rPr>
        <w:t>6.3  The state's split position</w:t>
      </w:r>
      <w:r>
        <w:rPr>
          <w:color w:val="595959"/>
          <w:sz w:val="22"/>
        </w:rPr>
        <w:tab/>
        <w:t>[p.]</w:t>
      </w:r>
    </w:p>
    <w:p>
      <w:pPr>
        <w:spacing w:after="40"/>
        <w:ind w:left="283"/>
      </w:pPr>
      <w:r>
        <w:rPr>
          <w:color w:val="262626"/>
          <w:sz w:val="22"/>
        </w:rPr>
        <w:t>6.4  The architecture of community positions</w:t>
      </w:r>
      <w:r>
        <w:rPr>
          <w:color w:val="595959"/>
          <w:sz w:val="22"/>
        </w:rPr>
        <w:tab/>
        <w:t>[p.]</w:t>
      </w:r>
    </w:p>
    <w:p>
      <w:pPr>
        <w:spacing w:after="40"/>
        <w:ind w:left="283"/>
      </w:pPr>
      <w:r>
        <w:rPr>
          <w:color w:val="262626"/>
          <w:sz w:val="22"/>
        </w:rPr>
        <w:t>6.5  Individual informed-observer accounts</w:t>
      </w:r>
      <w:r>
        <w:rPr>
          <w:color w:val="595959"/>
          <w:sz w:val="22"/>
        </w:rPr>
        <w:tab/>
        <w:t>[p.]</w:t>
      </w:r>
    </w:p>
    <w:p>
      <w:pPr>
        <w:spacing w:after="40"/>
        <w:ind w:left="283"/>
      </w:pPr>
      <w:r>
        <w:rPr>
          <w:color w:val="262626"/>
          <w:sz w:val="22"/>
        </w:rPr>
        <w:t>6.6  Structural absences in the documented record</w:t>
      </w:r>
      <w:r>
        <w:rPr>
          <w:color w:val="595959"/>
          <w:sz w:val="22"/>
        </w:rPr>
        <w:tab/>
        <w:t>[p.]</w:t>
      </w:r>
    </w:p>
    <w:p>
      <w:pPr>
        <w:spacing w:after="40"/>
        <w:ind w:left="283"/>
      </w:pPr>
      <w:r>
        <w:rPr>
          <w:color w:val="262626"/>
          <w:sz w:val="22"/>
        </w:rPr>
        <w:t>6.7  Synthesis: licence on offer and licence being refused</w:t>
      </w:r>
      <w:r>
        <w:rPr>
          <w:color w:val="595959"/>
          <w:sz w:val="22"/>
        </w:rPr>
        <w:tab/>
        <w:t>[p.]</w:t>
      </w:r>
    </w:p>
    <w:p>
      <w:pPr>
        <w:spacing w:after="40"/>
        <w:ind w:left="0"/>
      </w:pPr>
      <w:r>
        <w:rPr>
          <w:b/>
          <w:color w:val="1F3864"/>
          <w:sz w:val="24"/>
        </w:rPr>
        <w:t>Chapter 7  Toward a defensible social licence</w:t>
      </w:r>
      <w:r>
        <w:rPr>
          <w:color w:val="595959"/>
          <w:sz w:val="22"/>
        </w:rPr>
        <w:tab/>
        <w:t>[p.]</w:t>
      </w:r>
    </w:p>
    <w:p>
      <w:pPr>
        <w:spacing w:after="40"/>
        <w:ind w:left="283"/>
      </w:pPr>
      <w:r>
        <w:rPr>
          <w:color w:val="262626"/>
          <w:sz w:val="22"/>
        </w:rPr>
        <w:t>7.1  Introduction: from positional architecture to regulatory-architectural critique</w:t>
      </w:r>
      <w:r>
        <w:rPr>
          <w:color w:val="595959"/>
          <w:sz w:val="22"/>
        </w:rPr>
        <w:tab/>
        <w:t>[p.]</w:t>
      </w:r>
    </w:p>
    <w:p>
      <w:pPr>
        <w:spacing w:after="40"/>
        <w:ind w:left="283"/>
      </w:pPr>
      <w:r>
        <w:rPr>
          <w:color w:val="262626"/>
          <w:sz w:val="22"/>
        </w:rPr>
        <w:t>7.2  The six conditions in their Namibian regulatory context</w:t>
      </w:r>
      <w:r>
        <w:rPr>
          <w:color w:val="595959"/>
          <w:sz w:val="22"/>
        </w:rPr>
        <w:tab/>
        <w:t>[p.]</w:t>
      </w:r>
    </w:p>
    <w:p>
      <w:pPr>
        <w:spacing w:after="40"/>
        <w:ind w:left="283"/>
      </w:pPr>
      <w:r>
        <w:rPr>
          <w:color w:val="262626"/>
          <w:sz w:val="22"/>
        </w:rPr>
        <w:t>7.3  The structural gaps in the Namibian extractive-regulatory architecture</w:t>
      </w:r>
      <w:r>
        <w:rPr>
          <w:color w:val="595959"/>
          <w:sz w:val="22"/>
        </w:rPr>
        <w:tab/>
        <w:t>[p.]</w:t>
      </w:r>
    </w:p>
    <w:p>
      <w:pPr>
        <w:spacing w:after="40"/>
        <w:ind w:left="283"/>
      </w:pPr>
      <w:r>
        <w:rPr>
          <w:color w:val="262626"/>
          <w:sz w:val="22"/>
        </w:rPr>
        <w:t>7.4  Analytical scaffolding from the social-licence literature</w:t>
      </w:r>
      <w:r>
        <w:rPr>
          <w:color w:val="595959"/>
          <w:sz w:val="22"/>
        </w:rPr>
        <w:tab/>
        <w:t>[p.]</w:t>
      </w:r>
    </w:p>
    <w:p>
      <w:pPr>
        <w:spacing w:after="40"/>
        <w:ind w:left="283"/>
      </w:pPr>
      <w:r>
        <w:rPr>
          <w:color w:val="262626"/>
          <w:sz w:val="22"/>
        </w:rPr>
        <w:t>7.5  The reform horizon and its political economy</w:t>
      </w:r>
      <w:r>
        <w:rPr>
          <w:color w:val="595959"/>
          <w:sz w:val="22"/>
        </w:rPr>
        <w:tab/>
        <w:t>[p.]</w:t>
      </w:r>
    </w:p>
    <w:p>
      <w:pPr>
        <w:spacing w:after="40"/>
        <w:ind w:left="283"/>
      </w:pPr>
      <w:r>
        <w:rPr>
          <w:color w:val="262626"/>
          <w:sz w:val="22"/>
        </w:rPr>
        <w:t>7.6  What this study does not settle</w:t>
      </w:r>
      <w:r>
        <w:rPr>
          <w:color w:val="595959"/>
          <w:sz w:val="22"/>
        </w:rPr>
        <w:tab/>
        <w:t>[p.]</w:t>
      </w:r>
    </w:p>
    <w:p>
      <w:pPr>
        <w:spacing w:after="40"/>
        <w:ind w:left="283"/>
      </w:pPr>
      <w:r>
        <w:rPr>
          <w:color w:val="262626"/>
          <w:sz w:val="22"/>
        </w:rPr>
        <w:t>7.7  Conclusion to the chapter</w:t>
      </w:r>
      <w:r>
        <w:rPr>
          <w:color w:val="595959"/>
          <w:sz w:val="22"/>
        </w:rPr>
        <w:tab/>
        <w:t>[p.]</w:t>
      </w:r>
    </w:p>
    <w:p>
      <w:pPr>
        <w:spacing w:after="40"/>
        <w:ind w:left="0"/>
      </w:pPr>
      <w:r>
        <w:rPr>
          <w:b/>
          <w:color w:val="1F3864"/>
          <w:sz w:val="24"/>
        </w:rPr>
        <w:t>Chapter 8  Conclusion</w:t>
      </w:r>
      <w:r>
        <w:rPr>
          <w:color w:val="595959"/>
          <w:sz w:val="22"/>
        </w:rPr>
        <w:tab/>
        <w:t>[p.]</w:t>
      </w:r>
    </w:p>
    <w:p>
      <w:pPr>
        <w:spacing w:after="40"/>
        <w:ind w:left="283"/>
      </w:pPr>
      <w:r>
        <w:rPr>
          <w:color w:val="262626"/>
          <w:sz w:val="22"/>
        </w:rPr>
        <w:t>8.1  What this report set out to do</w:t>
      </w:r>
      <w:r>
        <w:rPr>
          <w:color w:val="595959"/>
          <w:sz w:val="22"/>
        </w:rPr>
        <w:tab/>
        <w:t>[p.]</w:t>
      </w:r>
    </w:p>
    <w:p>
      <w:pPr>
        <w:spacing w:after="40"/>
        <w:ind w:left="283"/>
      </w:pPr>
      <w:r>
        <w:rPr>
          <w:color w:val="262626"/>
          <w:sz w:val="22"/>
        </w:rPr>
        <w:t>8.2  What this report has found</w:t>
      </w:r>
      <w:r>
        <w:rPr>
          <w:color w:val="595959"/>
          <w:sz w:val="22"/>
        </w:rPr>
        <w:tab/>
        <w:t>[p.]</w:t>
      </w:r>
    </w:p>
    <w:p>
      <w:pPr>
        <w:spacing w:after="40"/>
        <w:ind w:left="283"/>
      </w:pPr>
      <w:r>
        <w:rPr>
          <w:color w:val="262626"/>
          <w:sz w:val="22"/>
        </w:rPr>
        <w:t>8.3  What is at stake</w:t>
      </w:r>
      <w:r>
        <w:rPr>
          <w:color w:val="595959"/>
          <w:sz w:val="22"/>
        </w:rPr>
        <w:tab/>
        <w:t>[p.]</w:t>
      </w:r>
    </w:p>
    <w:p/>
    <w:p>
      <w:pPr>
        <w:spacing w:after="40"/>
        <w:ind w:left="0"/>
      </w:pPr>
      <w:r>
        <w:rPr>
          <w:b/>
          <w:color w:val="1F3864"/>
          <w:sz w:val="24"/>
        </w:rPr>
        <w:t>References</w:t>
      </w:r>
      <w:r>
        <w:rPr>
          <w:color w:val="595959"/>
          <w:sz w:val="22"/>
        </w:rPr>
        <w:tab/>
        <w:t>[p.]</w:t>
      </w:r>
    </w:p>
    <w:p/>
    <w:p>
      <w:pPr>
        <w:spacing w:after="40"/>
        <w:ind w:left="0"/>
      </w:pPr>
      <w:r>
        <w:rPr>
          <w:b/>
          <w:color w:val="1F3864"/>
          <w:sz w:val="24"/>
        </w:rPr>
        <w:t>Companion volume (issued separately)</w:t>
      </w:r>
    </w:p>
    <w:p>
      <w:pPr>
        <w:spacing w:after="40"/>
        <w:ind w:left="283"/>
      </w:pPr>
      <w:r>
        <w:rPr>
          <w:i/>
          <w:color w:val="595959"/>
          <w:sz w:val="21"/>
        </w:rPr>
        <w:t>SLO Data Compendium: the six qualitative matrices and the documented organisational record on which the main report's analytical work rests. The compendium contains Matrices 1 to 6 (theme by source, stance by source, per-community position notes, evidence-quality codes, stakeholder typology, and the 50-row documented organisational positions record covering 2020 to 2026).</w:t>
      </w:r>
    </w:p>
    <w:p>
      <w:pPr>
        <w:spacing w:before="360" w:after="200"/>
      </w:pPr>
      <w:r>
        <w:rPr>
          <w:b/>
          <w:color w:val="1F3864"/>
          <w:sz w:val="32"/>
        </w:rPr>
        <w:t>LIST OF FIGURES</w:t>
      </w:r>
    </w:p>
    <w:p>
      <w:pPr>
        <w:spacing w:after="80"/>
        <w:ind w:left="170" w:hanging="170"/>
      </w:pPr>
      <w:r>
        <w:rPr>
          <w:b/>
          <w:color w:val="1F3864"/>
          <w:sz w:val="22"/>
        </w:rPr>
        <w:t xml:space="preserve">Figure 2.1  </w:t>
      </w:r>
      <w:r>
        <w:rPr>
          <w:color w:val="262626"/>
          <w:sz w:val="22"/>
        </w:rPr>
        <w:t>The Stampriet Transboundary Aquifer System (STAS) in regional context</w:t>
      </w:r>
      <w:r>
        <w:rPr>
          <w:i/>
          <w:color w:val="595959"/>
          <w:sz w:val="20"/>
        </w:rPr>
        <w:t xml:space="preserve">  (Chapter 2 §2.1)</w:t>
      </w:r>
    </w:p>
    <w:p>
      <w:pPr>
        <w:spacing w:after="80"/>
        <w:ind w:left="170" w:hanging="170"/>
      </w:pPr>
      <w:r>
        <w:rPr>
          <w:b/>
          <w:color w:val="1F3864"/>
          <w:sz w:val="22"/>
        </w:rPr>
        <w:t xml:space="preserve">Figure 2.2  </w:t>
      </w:r>
      <w:r>
        <w:rPr>
          <w:color w:val="262626"/>
          <w:sz w:val="22"/>
        </w:rPr>
        <w:t>Schematic hydrogeological cross-section through the STAS</w:t>
      </w:r>
      <w:r>
        <w:rPr>
          <w:i/>
          <w:color w:val="595959"/>
          <w:sz w:val="20"/>
        </w:rPr>
        <w:t xml:space="preserve">  (Chapter 2 §2.1)</w:t>
      </w:r>
    </w:p>
    <w:p>
      <w:pPr>
        <w:spacing w:after="80"/>
        <w:ind w:left="170" w:hanging="170"/>
      </w:pPr>
      <w:r>
        <w:rPr>
          <w:b/>
          <w:color w:val="1F3864"/>
          <w:sz w:val="22"/>
        </w:rPr>
        <w:t xml:space="preserve">Figure 2.3  </w:t>
      </w:r>
      <w:r>
        <w:rPr>
          <w:color w:val="262626"/>
          <w:sz w:val="22"/>
        </w:rPr>
        <w:t>The Namibian regulatory architecture for the STAS case</w:t>
      </w:r>
      <w:r>
        <w:rPr>
          <w:i/>
          <w:color w:val="595959"/>
          <w:sz w:val="20"/>
        </w:rPr>
        <w:t xml:space="preserve">  (Chapter 2 §2.4)</w:t>
      </w:r>
    </w:p>
    <w:p>
      <w:pPr>
        <w:spacing w:after="80"/>
        <w:ind w:left="170" w:hanging="170"/>
      </w:pPr>
      <w:r>
        <w:rPr>
          <w:b/>
          <w:color w:val="1F3864"/>
          <w:sz w:val="22"/>
        </w:rPr>
        <w:t xml:space="preserve">Figure 4.1  </w:t>
      </w:r>
      <w:r>
        <w:rPr>
          <w:color w:val="262626"/>
          <w:sz w:val="22"/>
        </w:rPr>
        <w:t>The four-channel evidentiary discipline</w:t>
      </w:r>
      <w:r>
        <w:rPr>
          <w:i/>
          <w:color w:val="595959"/>
          <w:sz w:val="20"/>
        </w:rPr>
        <w:t xml:space="preserve">  (Chapter 4 §4.3)</w:t>
      </w:r>
    </w:p>
    <w:p>
      <w:pPr>
        <w:spacing w:after="80"/>
        <w:ind w:left="170" w:hanging="170"/>
      </w:pPr>
      <w:r>
        <w:rPr>
          <w:b/>
          <w:color w:val="1F3864"/>
          <w:sz w:val="22"/>
        </w:rPr>
        <w:t xml:space="preserve">Figure 5.1  </w:t>
      </w:r>
      <w:r>
        <w:rPr>
          <w:color w:val="262626"/>
          <w:sz w:val="22"/>
        </w:rPr>
        <w:t>The trust environment in the affected communities</w:t>
      </w:r>
      <w:r>
        <w:rPr>
          <w:i/>
          <w:color w:val="595959"/>
          <w:sz w:val="20"/>
        </w:rPr>
        <w:t xml:space="preserve">  (Chapter 5 §5.3)</w:t>
      </w:r>
    </w:p>
    <w:p>
      <w:pPr>
        <w:spacing w:after="80"/>
        <w:ind w:left="170" w:hanging="170"/>
      </w:pPr>
      <w:r>
        <w:rPr>
          <w:b/>
          <w:color w:val="1F3864"/>
          <w:sz w:val="22"/>
        </w:rPr>
        <w:t xml:space="preserve">Figure 6.1  </w:t>
      </w:r>
      <w:r>
        <w:rPr>
          <w:color w:val="262626"/>
          <w:sz w:val="22"/>
        </w:rPr>
        <w:t>The architecture of community positions: a typology aggregated from the focus-group and Village Council corpus</w:t>
      </w:r>
      <w:r>
        <w:rPr>
          <w:i/>
          <w:color w:val="595959"/>
          <w:sz w:val="20"/>
        </w:rPr>
        <w:t xml:space="preserve">  (Chapter 6 §6.4)</w:t>
      </w:r>
    </w:p>
    <w:p>
      <w:pPr>
        <w:spacing w:after="80"/>
        <w:ind w:left="170" w:hanging="170"/>
      </w:pPr>
      <w:r>
        <w:rPr>
          <w:b/>
          <w:color w:val="1F3864"/>
          <w:sz w:val="22"/>
        </w:rPr>
        <w:t xml:space="preserve">Figure 6.2  </w:t>
      </w:r>
      <w:r>
        <w:rPr>
          <w:color w:val="262626"/>
          <w:sz w:val="22"/>
        </w:rPr>
        <w:t>Boutilier's four-level social-licence pyramid as deployed in the STAS case</w:t>
      </w:r>
      <w:r>
        <w:rPr>
          <w:i/>
          <w:color w:val="595959"/>
          <w:sz w:val="20"/>
        </w:rPr>
        <w:t xml:space="preserve">  (Chapter 6 §6.7)</w:t>
      </w:r>
    </w:p>
    <w:p>
      <w:pPr>
        <w:spacing w:after="80"/>
        <w:ind w:left="170" w:hanging="170"/>
      </w:pPr>
      <w:r>
        <w:rPr>
          <w:b/>
          <w:color w:val="1F3864"/>
          <w:sz w:val="22"/>
        </w:rPr>
        <w:t xml:space="preserve">Figure 6.3  </w:t>
      </w:r>
      <w:r>
        <w:rPr>
          <w:color w:val="262626"/>
          <w:sz w:val="22"/>
        </w:rPr>
        <w:t>The basin-wide Exclusive Prospecting Licence (EPL) programme in the STAS</w:t>
      </w:r>
      <w:r>
        <w:rPr>
          <w:i/>
          <w:color w:val="595959"/>
          <w:sz w:val="20"/>
        </w:rPr>
        <w:t xml:space="preserve">  (Chapter 6 §6.2.7)</w:t>
      </w:r>
    </w:p>
    <w:p>
      <w:pPr>
        <w:spacing w:after="80"/>
        <w:ind w:left="170" w:hanging="170"/>
      </w:pPr>
      <w:r>
        <w:rPr>
          <w:b/>
          <w:color w:val="1F3864"/>
          <w:sz w:val="22"/>
        </w:rPr>
        <w:t xml:space="preserve">Figure 7.1  </w:t>
      </w:r>
      <w:r>
        <w:rPr>
          <w:color w:val="262626"/>
          <w:sz w:val="22"/>
        </w:rPr>
        <w:t>Feasibility matrix: six conditions against four regulatory-change pathways</w:t>
      </w:r>
      <w:r>
        <w:rPr>
          <w:i/>
          <w:color w:val="595959"/>
          <w:sz w:val="20"/>
        </w:rPr>
        <w:t xml:space="preserve">  (Chapter 7 §7.2)</w:t>
      </w:r>
    </w:p>
    <w:p>
      <w:pPr>
        <w:spacing w:after="80"/>
        <w:ind w:left="170" w:hanging="170"/>
      </w:pPr>
      <w:r>
        <w:rPr>
          <w:b/>
          <w:color w:val="1F3864"/>
          <w:sz w:val="22"/>
        </w:rPr>
        <w:t xml:space="preserve">Figure 7.2  </w:t>
      </w:r>
      <w:r>
        <w:rPr>
          <w:color w:val="262626"/>
          <w:sz w:val="22"/>
        </w:rPr>
        <w:t>Structural gaps in the Namibian extractive-regulatory architecture</w:t>
      </w:r>
      <w:r>
        <w:rPr>
          <w:i/>
          <w:color w:val="595959"/>
          <w:sz w:val="20"/>
        </w:rPr>
        <w:t xml:space="preserve">  (Chapter 7 §7.3)</w:t>
      </w:r>
    </w:p>
    <w:p>
      <w:pPr>
        <w:spacing w:before="360" w:after="200"/>
      </w:pPr>
      <w:r>
        <w:rPr>
          <w:b/>
          <w:color w:val="1F3864"/>
          <w:sz w:val="32"/>
        </w:rPr>
        <w:t>LIST OF ABBREVIATIONS AND ACRONYMS</w:t>
      </w:r>
    </w:p>
    <w:p>
      <w:pPr>
        <w:spacing w:after="40"/>
        <w:ind w:left="1701" w:hanging="1701"/>
      </w:pPr>
      <w:r>
        <w:rPr>
          <w:b/>
          <w:color w:val="1F3864"/>
          <w:sz w:val="22"/>
        </w:rPr>
        <w:t xml:space="preserve">CESCR        </w:t>
      </w:r>
      <w:r>
        <w:rPr>
          <w:color w:val="262626"/>
          <w:sz w:val="22"/>
        </w:rPr>
        <w:tab/>
        <w:t>Committee on Economic, Social and Cultural Rights (United Nations)</w:t>
      </w:r>
    </w:p>
    <w:p>
      <w:pPr>
        <w:spacing w:after="40"/>
        <w:ind w:left="1701" w:hanging="1701"/>
      </w:pPr>
      <w:r>
        <w:rPr>
          <w:b/>
          <w:color w:val="1F3864"/>
          <w:sz w:val="22"/>
        </w:rPr>
        <w:t xml:space="preserve">Cirrus       </w:t>
      </w:r>
      <w:r>
        <w:rPr>
          <w:color w:val="262626"/>
          <w:sz w:val="22"/>
        </w:rPr>
        <w:tab/>
        <w:t>Cirrus Capital (firm of the same name as the EIA-preparing consultancy; note distinct from Cirrus Survey Warehouse, the conducting consultancy of the present report)</w:t>
      </w:r>
    </w:p>
    <w:p>
      <w:pPr>
        <w:spacing w:after="40"/>
        <w:ind w:left="1701" w:hanging="1701"/>
      </w:pPr>
      <w:r>
        <w:rPr>
          <w:b/>
          <w:color w:val="1F3864"/>
          <w:sz w:val="22"/>
        </w:rPr>
        <w:t xml:space="preserve">EAP          </w:t>
      </w:r>
      <w:r>
        <w:rPr>
          <w:color w:val="262626"/>
          <w:sz w:val="22"/>
        </w:rPr>
        <w:tab/>
        <w:t>Environmental Assessment Practitioner</w:t>
      </w:r>
    </w:p>
    <w:p>
      <w:pPr>
        <w:spacing w:after="40"/>
        <w:ind w:left="1701" w:hanging="1701"/>
      </w:pPr>
      <w:r>
        <w:rPr>
          <w:b/>
          <w:color w:val="1F3864"/>
          <w:sz w:val="22"/>
        </w:rPr>
        <w:t xml:space="preserve">EAPAN        </w:t>
      </w:r>
      <w:r>
        <w:rPr>
          <w:color w:val="262626"/>
          <w:sz w:val="22"/>
        </w:rPr>
        <w:tab/>
        <w:t>Environmental Assessment Professionals Association of Namibia</w:t>
      </w:r>
    </w:p>
    <w:p>
      <w:pPr>
        <w:spacing w:after="40"/>
        <w:ind w:left="1701" w:hanging="1701"/>
      </w:pPr>
      <w:r>
        <w:rPr>
          <w:b/>
          <w:color w:val="1F3864"/>
          <w:sz w:val="22"/>
        </w:rPr>
        <w:t xml:space="preserve">ECC          </w:t>
      </w:r>
      <w:r>
        <w:rPr>
          <w:color w:val="262626"/>
          <w:sz w:val="22"/>
        </w:rPr>
        <w:tab/>
        <w:t>Environmental Clearance Certificate (under the EMA)</w:t>
      </w:r>
    </w:p>
    <w:p>
      <w:pPr>
        <w:spacing w:after="40"/>
        <w:ind w:left="1701" w:hanging="1701"/>
      </w:pPr>
      <w:r>
        <w:rPr>
          <w:b/>
          <w:color w:val="1F3864"/>
          <w:sz w:val="22"/>
        </w:rPr>
        <w:t xml:space="preserve">EIA          </w:t>
      </w:r>
      <w:r>
        <w:rPr>
          <w:color w:val="262626"/>
          <w:sz w:val="22"/>
        </w:rPr>
        <w:tab/>
        <w:t>Environmental Impact Assessment</w:t>
      </w:r>
    </w:p>
    <w:p>
      <w:pPr>
        <w:spacing w:after="40"/>
        <w:ind w:left="1701" w:hanging="1701"/>
      </w:pPr>
      <w:r>
        <w:rPr>
          <w:b/>
          <w:color w:val="1F3864"/>
          <w:sz w:val="22"/>
        </w:rPr>
        <w:t xml:space="preserve">EIS          </w:t>
      </w:r>
      <w:r>
        <w:rPr>
          <w:color w:val="262626"/>
          <w:sz w:val="22"/>
        </w:rPr>
        <w:tab/>
        <w:t>Environmental Information System</w:t>
      </w:r>
    </w:p>
    <w:p>
      <w:pPr>
        <w:spacing w:after="40"/>
        <w:ind w:left="1701" w:hanging="1701"/>
      </w:pPr>
      <w:r>
        <w:rPr>
          <w:b/>
          <w:color w:val="1F3864"/>
          <w:sz w:val="22"/>
        </w:rPr>
        <w:t xml:space="preserve">EITI         </w:t>
      </w:r>
      <w:r>
        <w:rPr>
          <w:color w:val="262626"/>
          <w:sz w:val="22"/>
        </w:rPr>
        <w:tab/>
        <w:t>Extractive Industries Transparency Initiative</w:t>
      </w:r>
    </w:p>
    <w:p>
      <w:pPr>
        <w:spacing w:after="40"/>
        <w:ind w:left="1701" w:hanging="1701"/>
      </w:pPr>
      <w:r>
        <w:rPr>
          <w:b/>
          <w:color w:val="1F3864"/>
          <w:sz w:val="22"/>
        </w:rPr>
        <w:t xml:space="preserve">EMA          </w:t>
      </w:r>
      <w:r>
        <w:rPr>
          <w:color w:val="262626"/>
          <w:sz w:val="22"/>
        </w:rPr>
        <w:tab/>
        <w:t>Environmental Management Act 7 of 2007 (Namibia)</w:t>
      </w:r>
    </w:p>
    <w:p>
      <w:pPr>
        <w:spacing w:after="40"/>
        <w:ind w:left="1701" w:hanging="1701"/>
      </w:pPr>
      <w:r>
        <w:rPr>
          <w:b/>
          <w:color w:val="1F3864"/>
          <w:sz w:val="22"/>
        </w:rPr>
        <w:t xml:space="preserve">EMP          </w:t>
      </w:r>
      <w:r>
        <w:rPr>
          <w:color w:val="262626"/>
          <w:sz w:val="22"/>
        </w:rPr>
        <w:tab/>
        <w:t>Environmental Management Plan</w:t>
      </w:r>
    </w:p>
    <w:p>
      <w:pPr>
        <w:spacing w:after="40"/>
        <w:ind w:left="1701" w:hanging="1701"/>
      </w:pPr>
      <w:r>
        <w:rPr>
          <w:b/>
          <w:color w:val="1F3864"/>
          <w:sz w:val="22"/>
        </w:rPr>
        <w:t xml:space="preserve">EPL          </w:t>
      </w:r>
      <w:r>
        <w:rPr>
          <w:color w:val="262626"/>
          <w:sz w:val="22"/>
        </w:rPr>
        <w:tab/>
        <w:t>Exclusive Prospecting Licence (under the Minerals Act)</w:t>
      </w:r>
    </w:p>
    <w:p>
      <w:pPr>
        <w:spacing w:after="40"/>
        <w:ind w:left="1701" w:hanging="1701"/>
      </w:pPr>
      <w:r>
        <w:rPr>
          <w:b/>
          <w:color w:val="1F3864"/>
          <w:sz w:val="22"/>
        </w:rPr>
        <w:t xml:space="preserve">FES          </w:t>
      </w:r>
      <w:r>
        <w:rPr>
          <w:color w:val="262626"/>
          <w:sz w:val="22"/>
        </w:rPr>
        <w:tab/>
        <w:t>Friedrich Ebert Stiftung (German political foundation; Namibian office)</w:t>
      </w:r>
    </w:p>
    <w:p>
      <w:pPr>
        <w:spacing w:after="40"/>
        <w:ind w:left="1701" w:hanging="1701"/>
      </w:pPr>
      <w:r>
        <w:rPr>
          <w:b/>
          <w:color w:val="1F3864"/>
          <w:sz w:val="22"/>
        </w:rPr>
        <w:t xml:space="preserve">FG           </w:t>
      </w:r>
      <w:r>
        <w:rPr>
          <w:color w:val="262626"/>
          <w:sz w:val="22"/>
        </w:rPr>
        <w:tab/>
        <w:t>Focus group (used as source-code prefix in the corpus)</w:t>
      </w:r>
    </w:p>
    <w:p>
      <w:pPr>
        <w:spacing w:after="40"/>
        <w:ind w:left="1701" w:hanging="1701"/>
      </w:pPr>
      <w:r>
        <w:rPr>
          <w:b/>
          <w:color w:val="1F3864"/>
          <w:sz w:val="22"/>
        </w:rPr>
        <w:t xml:space="preserve">FPIC         </w:t>
      </w:r>
      <w:r>
        <w:rPr>
          <w:color w:val="262626"/>
          <w:sz w:val="22"/>
        </w:rPr>
        <w:tab/>
        <w:t>Free, Prior and Informed Consent (doctrine)</w:t>
      </w:r>
    </w:p>
    <w:p>
      <w:pPr>
        <w:spacing w:after="40"/>
        <w:ind w:left="1701" w:hanging="1701"/>
      </w:pPr>
      <w:r>
        <w:rPr>
          <w:b/>
          <w:color w:val="1F3864"/>
          <w:sz w:val="22"/>
        </w:rPr>
        <w:t xml:space="preserve">GGRETA       </w:t>
      </w:r>
      <w:r>
        <w:rPr>
          <w:color w:val="262626"/>
          <w:sz w:val="22"/>
        </w:rPr>
        <w:tab/>
        <w:t>Governance of Groundwater Resources in Transboundary Aquifers (UNESCO-IHP and IGRAC project)</w:t>
      </w:r>
    </w:p>
    <w:p>
      <w:pPr>
        <w:spacing w:after="40"/>
        <w:ind w:left="1701" w:hanging="1701"/>
      </w:pPr>
      <w:r>
        <w:rPr>
          <w:b/>
          <w:color w:val="1F3864"/>
          <w:sz w:val="22"/>
        </w:rPr>
        <w:t xml:space="preserve">IAEA         </w:t>
      </w:r>
      <w:r>
        <w:rPr>
          <w:color w:val="262626"/>
          <w:sz w:val="22"/>
        </w:rPr>
        <w:tab/>
        <w:t>International Atomic Energy Agency</w:t>
      </w:r>
    </w:p>
    <w:p>
      <w:pPr>
        <w:spacing w:after="40"/>
        <w:ind w:left="1701" w:hanging="1701"/>
      </w:pPr>
      <w:r>
        <w:rPr>
          <w:b/>
          <w:color w:val="1F3864"/>
          <w:sz w:val="22"/>
        </w:rPr>
        <w:t xml:space="preserve">ICMM         </w:t>
      </w:r>
      <w:r>
        <w:rPr>
          <w:color w:val="262626"/>
          <w:sz w:val="22"/>
        </w:rPr>
        <w:tab/>
        <w:t>International Council on Mining and Metals</w:t>
      </w:r>
    </w:p>
    <w:p>
      <w:pPr>
        <w:spacing w:after="40"/>
        <w:ind w:left="1701" w:hanging="1701"/>
      </w:pPr>
      <w:r>
        <w:rPr>
          <w:b/>
          <w:color w:val="1F3864"/>
          <w:sz w:val="22"/>
        </w:rPr>
        <w:t xml:space="preserve">IFC          </w:t>
      </w:r>
      <w:r>
        <w:rPr>
          <w:color w:val="262626"/>
          <w:sz w:val="22"/>
        </w:rPr>
        <w:tab/>
        <w:t>International Finance Corporation</w:t>
      </w:r>
    </w:p>
    <w:p>
      <w:pPr>
        <w:spacing w:after="40"/>
        <w:ind w:left="1701" w:hanging="1701"/>
      </w:pPr>
      <w:r>
        <w:rPr>
          <w:b/>
          <w:color w:val="1F3864"/>
          <w:sz w:val="22"/>
        </w:rPr>
        <w:t xml:space="preserve">IGRAC        </w:t>
      </w:r>
      <w:r>
        <w:rPr>
          <w:color w:val="262626"/>
          <w:sz w:val="22"/>
        </w:rPr>
        <w:tab/>
        <w:t>International Groundwater Resources Assessment Centre</w:t>
      </w:r>
    </w:p>
    <w:p>
      <w:pPr>
        <w:spacing w:after="40"/>
        <w:ind w:left="1701" w:hanging="1701"/>
      </w:pPr>
      <w:r>
        <w:rPr>
          <w:b/>
          <w:color w:val="1F3864"/>
          <w:sz w:val="22"/>
        </w:rPr>
        <w:t xml:space="preserve">ILC          </w:t>
      </w:r>
      <w:r>
        <w:rPr>
          <w:color w:val="262626"/>
          <w:sz w:val="22"/>
        </w:rPr>
        <w:tab/>
        <w:t>International Law Commission (United Nations)</w:t>
      </w:r>
    </w:p>
    <w:p>
      <w:pPr>
        <w:spacing w:after="40"/>
        <w:ind w:left="1701" w:hanging="1701"/>
      </w:pPr>
      <w:r>
        <w:rPr>
          <w:b/>
          <w:color w:val="1F3864"/>
          <w:sz w:val="22"/>
        </w:rPr>
        <w:t xml:space="preserve">ILO          </w:t>
      </w:r>
      <w:r>
        <w:rPr>
          <w:color w:val="262626"/>
          <w:sz w:val="22"/>
        </w:rPr>
        <w:tab/>
        <w:t>International Labour Organization</w:t>
      </w:r>
    </w:p>
    <w:p>
      <w:pPr>
        <w:spacing w:after="40"/>
        <w:ind w:left="1701" w:hanging="1701"/>
      </w:pPr>
      <w:r>
        <w:rPr>
          <w:b/>
          <w:color w:val="1F3864"/>
          <w:sz w:val="22"/>
        </w:rPr>
        <w:t xml:space="preserve">IPC          </w:t>
      </w:r>
      <w:r>
        <w:rPr>
          <w:color w:val="262626"/>
          <w:sz w:val="22"/>
        </w:rPr>
        <w:tab/>
        <w:t>Independent Patriots for Change (Namibian political party); also Intergovernmental Russian-Namibian Commission on Trade and Economic Cooperation (disambiguated in text where both senses apply)</w:t>
      </w:r>
    </w:p>
    <w:p>
      <w:pPr>
        <w:spacing w:after="40"/>
        <w:ind w:left="1701" w:hanging="1701"/>
      </w:pPr>
      <w:r>
        <w:rPr>
          <w:b/>
          <w:color w:val="1F3864"/>
          <w:sz w:val="22"/>
        </w:rPr>
        <w:t xml:space="preserve">IRB          </w:t>
      </w:r>
      <w:r>
        <w:rPr>
          <w:color w:val="262626"/>
          <w:sz w:val="22"/>
        </w:rPr>
        <w:tab/>
        <w:t>Institutional Review Board</w:t>
      </w:r>
    </w:p>
    <w:p>
      <w:pPr>
        <w:spacing w:after="40"/>
        <w:ind w:left="1701" w:hanging="1701"/>
      </w:pPr>
      <w:r>
        <w:rPr>
          <w:b/>
          <w:color w:val="1F3864"/>
          <w:sz w:val="22"/>
        </w:rPr>
        <w:t xml:space="preserve">ISL          </w:t>
      </w:r>
      <w:r>
        <w:rPr>
          <w:color w:val="262626"/>
          <w:sz w:val="22"/>
        </w:rPr>
        <w:tab/>
        <w:t>In-situ leach (uranium mining method)</w:t>
      </w:r>
    </w:p>
    <w:p>
      <w:pPr>
        <w:spacing w:after="40"/>
        <w:ind w:left="1701" w:hanging="1701"/>
      </w:pPr>
      <w:r>
        <w:rPr>
          <w:b/>
          <w:color w:val="1F3864"/>
          <w:sz w:val="22"/>
        </w:rPr>
        <w:t xml:space="preserve">ISR          </w:t>
      </w:r>
      <w:r>
        <w:rPr>
          <w:color w:val="262626"/>
          <w:sz w:val="22"/>
        </w:rPr>
        <w:tab/>
        <w:t>In-situ recovery (synonymous with ISL; proponent's preferred term)</w:t>
      </w:r>
    </w:p>
    <w:p>
      <w:pPr>
        <w:spacing w:after="40"/>
        <w:ind w:left="1701" w:hanging="1701"/>
      </w:pPr>
      <w:r>
        <w:rPr>
          <w:b/>
          <w:color w:val="1F3864"/>
          <w:sz w:val="22"/>
        </w:rPr>
        <w:t xml:space="preserve">KII          </w:t>
      </w:r>
      <w:r>
        <w:rPr>
          <w:color w:val="262626"/>
          <w:sz w:val="22"/>
        </w:rPr>
        <w:tab/>
        <w:t>Key informant interview (used as source-code prefix in the corpus)</w:t>
      </w:r>
    </w:p>
    <w:p>
      <w:pPr>
        <w:spacing w:after="40"/>
        <w:ind w:left="1701" w:hanging="1701"/>
      </w:pPr>
      <w:r>
        <w:rPr>
          <w:b/>
          <w:color w:val="1F3864"/>
          <w:sz w:val="22"/>
        </w:rPr>
        <w:t xml:space="preserve">LAC          </w:t>
      </w:r>
      <w:r>
        <w:rPr>
          <w:color w:val="262626"/>
          <w:sz w:val="22"/>
        </w:rPr>
        <w:tab/>
        <w:t>Legal Assistance Centre (Namibia)</w:t>
      </w:r>
    </w:p>
    <w:p>
      <w:pPr>
        <w:spacing w:after="40"/>
        <w:ind w:left="1701" w:hanging="1701"/>
      </w:pPr>
      <w:r>
        <w:rPr>
          <w:b/>
          <w:color w:val="1F3864"/>
          <w:sz w:val="22"/>
        </w:rPr>
        <w:t xml:space="preserve">MAWLR        </w:t>
      </w:r>
      <w:r>
        <w:rPr>
          <w:color w:val="262626"/>
          <w:sz w:val="22"/>
        </w:rPr>
        <w:tab/>
        <w:t>Ministry of Agriculture, Water and Land Reform (Namibia)</w:t>
      </w:r>
    </w:p>
    <w:p>
      <w:pPr>
        <w:spacing w:after="40"/>
        <w:ind w:left="1701" w:hanging="1701"/>
      </w:pPr>
      <w:r>
        <w:rPr>
          <w:b/>
          <w:color w:val="1F3864"/>
          <w:sz w:val="22"/>
        </w:rPr>
        <w:t xml:space="preserve">MCCB         </w:t>
      </w:r>
      <w:r>
        <w:rPr>
          <w:color w:val="262626"/>
          <w:sz w:val="22"/>
        </w:rPr>
        <w:tab/>
        <w:t>Multi Country Consultative Body (under GGRETA, for the STAS)</w:t>
      </w:r>
    </w:p>
    <w:p>
      <w:pPr>
        <w:spacing w:after="40"/>
        <w:ind w:left="1701" w:hanging="1701"/>
      </w:pPr>
      <w:r>
        <w:rPr>
          <w:b/>
          <w:color w:val="1F3864"/>
          <w:sz w:val="22"/>
        </w:rPr>
        <w:t xml:space="preserve">MEFT         </w:t>
      </w:r>
      <w:r>
        <w:rPr>
          <w:color w:val="262626"/>
          <w:sz w:val="22"/>
        </w:rPr>
        <w:tab/>
        <w:t>Ministry of Environment, Forestry and Tourism (Namibia)</w:t>
      </w:r>
    </w:p>
    <w:p>
      <w:pPr>
        <w:spacing w:after="40"/>
        <w:ind w:left="1701" w:hanging="1701"/>
      </w:pPr>
      <w:r>
        <w:rPr>
          <w:b/>
          <w:color w:val="1F3864"/>
          <w:sz w:val="22"/>
        </w:rPr>
        <w:t xml:space="preserve">MME          </w:t>
      </w:r>
      <w:r>
        <w:rPr>
          <w:color w:val="262626"/>
          <w:sz w:val="22"/>
        </w:rPr>
        <w:tab/>
        <w:t>Ministry of Mines and Energy (Namibia)</w:t>
      </w:r>
    </w:p>
    <w:p>
      <w:pPr>
        <w:spacing w:after="40"/>
        <w:ind w:left="1701" w:hanging="1701"/>
      </w:pPr>
      <w:r>
        <w:rPr>
          <w:b/>
          <w:color w:val="1F3864"/>
          <w:sz w:val="22"/>
        </w:rPr>
        <w:t xml:space="preserve">NAU          </w:t>
      </w:r>
      <w:r>
        <w:rPr>
          <w:color w:val="262626"/>
          <w:sz w:val="22"/>
        </w:rPr>
        <w:tab/>
        <w:t>Namibia Agricultural Union</w:t>
      </w:r>
    </w:p>
    <w:p>
      <w:pPr>
        <w:spacing w:after="40"/>
        <w:ind w:left="1701" w:hanging="1701"/>
      </w:pPr>
      <w:r>
        <w:rPr>
          <w:b/>
          <w:color w:val="1F3864"/>
          <w:sz w:val="22"/>
        </w:rPr>
        <w:t xml:space="preserve">NCE          </w:t>
      </w:r>
      <w:r>
        <w:rPr>
          <w:color w:val="262626"/>
          <w:sz w:val="22"/>
        </w:rPr>
        <w:tab/>
        <w:t>Namibian Chamber of Environment</w:t>
      </w:r>
    </w:p>
    <w:p>
      <w:pPr>
        <w:spacing w:after="40"/>
        <w:ind w:left="1701" w:hanging="1701"/>
      </w:pPr>
      <w:r>
        <w:rPr>
          <w:b/>
          <w:color w:val="1F3864"/>
          <w:sz w:val="22"/>
        </w:rPr>
        <w:t xml:space="preserve">NEWS         </w:t>
      </w:r>
      <w:r>
        <w:rPr>
          <w:color w:val="262626"/>
          <w:sz w:val="22"/>
        </w:rPr>
        <w:tab/>
        <w:t>Namibian Environment and Wildlife Society</w:t>
      </w:r>
    </w:p>
    <w:p>
      <w:pPr>
        <w:spacing w:after="40"/>
        <w:ind w:left="1701" w:hanging="1701"/>
      </w:pPr>
      <w:r>
        <w:rPr>
          <w:b/>
          <w:color w:val="1F3864"/>
          <w:sz w:val="22"/>
        </w:rPr>
        <w:t xml:space="preserve">NIPDB        </w:t>
      </w:r>
      <w:r>
        <w:rPr>
          <w:color w:val="262626"/>
          <w:sz w:val="22"/>
        </w:rPr>
        <w:tab/>
        <w:t>Namibia Investment Promotion and Development Board</w:t>
      </w:r>
    </w:p>
    <w:p>
      <w:pPr>
        <w:spacing w:after="40"/>
        <w:ind w:left="1701" w:hanging="1701"/>
      </w:pPr>
      <w:r>
        <w:rPr>
          <w:b/>
          <w:color w:val="1F3864"/>
          <w:sz w:val="22"/>
        </w:rPr>
        <w:t xml:space="preserve">NSA          </w:t>
      </w:r>
      <w:r>
        <w:rPr>
          <w:color w:val="262626"/>
          <w:sz w:val="22"/>
        </w:rPr>
        <w:tab/>
        <w:t>Namibia Statistics Agency</w:t>
      </w:r>
    </w:p>
    <w:p>
      <w:pPr>
        <w:spacing w:after="40"/>
        <w:ind w:left="1701" w:hanging="1701"/>
      </w:pPr>
      <w:r>
        <w:rPr>
          <w:b/>
          <w:color w:val="1F3864"/>
          <w:sz w:val="22"/>
        </w:rPr>
        <w:t xml:space="preserve">NUA          </w:t>
      </w:r>
      <w:r>
        <w:rPr>
          <w:color w:val="262626"/>
          <w:sz w:val="22"/>
        </w:rPr>
        <w:tab/>
        <w:t>Namibian Uranium Association</w:t>
      </w:r>
    </w:p>
    <w:p>
      <w:pPr>
        <w:spacing w:after="40"/>
        <w:ind w:left="1701" w:hanging="1701"/>
      </w:pPr>
      <w:r>
        <w:rPr>
          <w:b/>
          <w:color w:val="1F3864"/>
          <w:sz w:val="22"/>
        </w:rPr>
        <w:t xml:space="preserve">OEC          </w:t>
      </w:r>
      <w:r>
        <w:rPr>
          <w:color w:val="262626"/>
          <w:sz w:val="22"/>
        </w:rPr>
        <w:tab/>
        <w:t>Office of the Environmental Commissioner (within MEFT)</w:t>
      </w:r>
    </w:p>
    <w:p>
      <w:pPr>
        <w:spacing w:after="40"/>
        <w:ind w:left="1701" w:hanging="1701"/>
      </w:pPr>
      <w:r>
        <w:rPr>
          <w:b/>
          <w:color w:val="1F3864"/>
          <w:sz w:val="22"/>
        </w:rPr>
        <w:t xml:space="preserve">ORASECOM     </w:t>
      </w:r>
      <w:r>
        <w:rPr>
          <w:color w:val="262626"/>
          <w:sz w:val="22"/>
        </w:rPr>
        <w:tab/>
        <w:t>Orange-Senqu River Commission</w:t>
      </w:r>
    </w:p>
    <w:p>
      <w:pPr>
        <w:spacing w:after="40"/>
        <w:ind w:left="1701" w:hanging="1701"/>
      </w:pPr>
      <w:r>
        <w:rPr>
          <w:b/>
          <w:color w:val="1F3864"/>
          <w:sz w:val="22"/>
        </w:rPr>
        <w:t xml:space="preserve">PDM          </w:t>
      </w:r>
      <w:r>
        <w:rPr>
          <w:color w:val="262626"/>
          <w:sz w:val="22"/>
        </w:rPr>
        <w:tab/>
        <w:t>Popular Democratic Movement (Namibian political party)</w:t>
      </w:r>
    </w:p>
    <w:p>
      <w:pPr>
        <w:spacing w:after="40"/>
        <w:ind w:left="1701" w:hanging="1701"/>
      </w:pPr>
      <w:r>
        <w:rPr>
          <w:b/>
          <w:color w:val="1F3864"/>
          <w:sz w:val="22"/>
        </w:rPr>
        <w:t xml:space="preserve">PHC          </w:t>
      </w:r>
      <w:r>
        <w:rPr>
          <w:color w:val="262626"/>
          <w:sz w:val="22"/>
        </w:rPr>
        <w:tab/>
        <w:t>Population and Housing Census</w:t>
      </w:r>
    </w:p>
    <w:p>
      <w:pPr>
        <w:spacing w:after="40"/>
        <w:ind w:left="1701" w:hanging="1701"/>
      </w:pPr>
      <w:r>
        <w:rPr>
          <w:b/>
          <w:color w:val="1F3864"/>
          <w:sz w:val="22"/>
        </w:rPr>
        <w:t xml:space="preserve">RP           </w:t>
      </w:r>
      <w:r>
        <w:rPr>
          <w:color w:val="262626"/>
          <w:sz w:val="22"/>
        </w:rPr>
        <w:tab/>
        <w:t>Republican Party (Namibia)</w:t>
      </w:r>
    </w:p>
    <w:p>
      <w:pPr>
        <w:spacing w:after="40"/>
        <w:ind w:left="1701" w:hanging="1701"/>
      </w:pPr>
      <w:r>
        <w:rPr>
          <w:b/>
          <w:color w:val="1F3864"/>
          <w:sz w:val="22"/>
        </w:rPr>
        <w:t xml:space="preserve">SAB          </w:t>
      </w:r>
      <w:r>
        <w:rPr>
          <w:color w:val="262626"/>
          <w:sz w:val="22"/>
        </w:rPr>
        <w:tab/>
        <w:t>Stampriet Artesian Basin (geological term; synonymous with STAS where the transboundary-aquifer sense is intended)</w:t>
      </w:r>
    </w:p>
    <w:p>
      <w:pPr>
        <w:spacing w:after="40"/>
        <w:ind w:left="1701" w:hanging="1701"/>
      </w:pPr>
      <w:r>
        <w:rPr>
          <w:b/>
          <w:color w:val="1F3864"/>
          <w:sz w:val="22"/>
        </w:rPr>
        <w:t xml:space="preserve">SADC         </w:t>
      </w:r>
      <w:r>
        <w:rPr>
          <w:color w:val="262626"/>
          <w:sz w:val="22"/>
        </w:rPr>
        <w:tab/>
        <w:t>Southern African Development Community</w:t>
      </w:r>
    </w:p>
    <w:p>
      <w:pPr>
        <w:spacing w:after="40"/>
        <w:ind w:left="1701" w:hanging="1701"/>
      </w:pPr>
      <w:r>
        <w:rPr>
          <w:b/>
          <w:color w:val="1F3864"/>
          <w:sz w:val="22"/>
        </w:rPr>
        <w:t xml:space="preserve">SAUMA        </w:t>
      </w:r>
      <w:r>
        <w:rPr>
          <w:color w:val="262626"/>
          <w:sz w:val="22"/>
        </w:rPr>
        <w:tab/>
        <w:t>Stampriet Aquifer Uranium Mining Association</w:t>
      </w:r>
    </w:p>
    <w:p>
      <w:pPr>
        <w:spacing w:after="40"/>
        <w:ind w:left="1701" w:hanging="1701"/>
      </w:pPr>
      <w:r>
        <w:rPr>
          <w:b/>
          <w:color w:val="1F3864"/>
          <w:sz w:val="22"/>
        </w:rPr>
        <w:t xml:space="preserve">SLO          </w:t>
      </w:r>
      <w:r>
        <w:rPr>
          <w:color w:val="262626"/>
          <w:sz w:val="22"/>
        </w:rPr>
        <w:tab/>
        <w:t>Social licence to operate</w:t>
      </w:r>
    </w:p>
    <w:p>
      <w:pPr>
        <w:spacing w:after="40"/>
        <w:ind w:left="1701" w:hanging="1701"/>
      </w:pPr>
      <w:r>
        <w:rPr>
          <w:b/>
          <w:color w:val="1F3864"/>
          <w:sz w:val="22"/>
        </w:rPr>
        <w:t xml:space="preserve">STAS         </w:t>
      </w:r>
      <w:r>
        <w:rPr>
          <w:color w:val="262626"/>
          <w:sz w:val="22"/>
        </w:rPr>
        <w:tab/>
        <w:t>Stampriet Transboundary Aquifer System</w:t>
      </w:r>
    </w:p>
    <w:p>
      <w:pPr>
        <w:spacing w:after="40"/>
        <w:ind w:left="1701" w:hanging="1701"/>
      </w:pPr>
      <w:r>
        <w:rPr>
          <w:b/>
          <w:color w:val="1F3864"/>
          <w:sz w:val="22"/>
        </w:rPr>
        <w:t xml:space="preserve">UNDRIP       </w:t>
      </w:r>
      <w:r>
        <w:rPr>
          <w:color w:val="262626"/>
          <w:sz w:val="22"/>
        </w:rPr>
        <w:tab/>
        <w:t>United Nations Declaration on the Rights of Indigenous Peoples</w:t>
      </w:r>
    </w:p>
    <w:p>
      <w:pPr>
        <w:spacing w:after="40"/>
        <w:ind w:left="1701" w:hanging="1701"/>
      </w:pPr>
      <w:r>
        <w:rPr>
          <w:b/>
          <w:color w:val="1F3864"/>
          <w:sz w:val="22"/>
        </w:rPr>
        <w:t xml:space="preserve">UNESCO-IHP   </w:t>
      </w:r>
      <w:r>
        <w:rPr>
          <w:color w:val="262626"/>
          <w:sz w:val="22"/>
        </w:rPr>
        <w:tab/>
        <w:t>United Nations Educational, Scientific and Cultural Organization International Hydrological Programme</w:t>
      </w:r>
    </w:p>
    <w:p>
      <w:pPr>
        <w:spacing w:after="40"/>
        <w:ind w:left="1701" w:hanging="1701"/>
      </w:pPr>
      <w:r>
        <w:rPr>
          <w:b/>
          <w:color w:val="1F3864"/>
          <w:sz w:val="22"/>
        </w:rPr>
        <w:t xml:space="preserve">WISE         </w:t>
      </w:r>
      <w:r>
        <w:rPr>
          <w:color w:val="262626"/>
          <w:sz w:val="22"/>
        </w:rPr>
        <w:tab/>
        <w:t>World Information Service on Energy (Uranium Project)</w:t>
      </w:r>
    </w:p>
    <w:p>
      <w:pPr>
        <w:spacing w:after="40"/>
        <w:ind w:left="1701" w:hanging="1701"/>
      </w:pPr>
      <w:r>
        <w:rPr>
          <w:b/>
          <w:color w:val="1F3864"/>
          <w:sz w:val="22"/>
        </w:rPr>
        <w:t xml:space="preserve">WRMA         </w:t>
      </w:r>
      <w:r>
        <w:rPr>
          <w:color w:val="262626"/>
          <w:sz w:val="22"/>
        </w:rPr>
        <w:tab/>
        <w:t>Water Resources Management Act 11 of 2013 (Namibia)</w:t>
      </w:r>
    </w:p>
    <w:p>
      <w:r>
        <w:br w:type="page"/>
      </w:r>
    </w:p>
    <w:p>
      <w:pPr>
        <w:jc w:val="center"/>
      </w:pPr>
      <w:r>
        <w:rPr>
          <w:b/>
          <w:color w:val="1F3864"/>
          <w:sz w:val="36"/>
        </w:rPr>
        <w:t>EXECUTIVE SUMMARY</w:t>
      </w:r>
    </w:p>
    <w:p>
      <w:pPr>
        <w:jc w:val="center"/>
      </w:pPr>
      <w:r>
        <w:rPr>
          <w:b w:val="0"/>
          <w:color w:val="595959"/>
          <w:sz w:val="26"/>
        </w:rPr>
        <w:t>Toward a Defensible Social Licence: the Headspring Investments uranium in-situ recovery project in the Stampriet Transboundary Aquifer System</w:t>
      </w:r>
    </w:p>
    <w:p>
      <w:pPr>
        <w:jc w:val="center"/>
      </w:pPr>
      <w:r>
        <w:rPr>
          <w:i/>
          <w:color w:val="595959"/>
          <w:sz w:val="22"/>
        </w:rPr>
        <w:t>A standalone qualitative research report on the social licence to operate for the proposed Headspring and Uranium One Group uranium project in eastern Namibia</w:t>
      </w:r>
    </w:p>
    <w:p/>
    <w:p>
      <w:pPr>
        <w:spacing w:before="280" w:after="120"/>
      </w:pPr>
      <w:r>
        <w:rPr>
          <w:b/>
          <w:color w:val="1F3864"/>
          <w:sz w:val="27"/>
        </w:rPr>
        <w:t>The case</w:t>
      </w:r>
    </w:p>
    <w:p>
      <w:pPr>
        <w:spacing w:line="336" w:lineRule="auto" w:after="160"/>
        <w:jc w:val="both"/>
      </w:pPr>
      <w:r>
        <w:rPr>
          <w:i w:val="0"/>
          <w:sz w:val="23"/>
        </w:rPr>
        <w:t>This report examines the social-licence-to-operate (SLO) question for the proposed Headspring Investments uranium in-situ recovery (ISR) project in the Stampriet Transboundary Aquifer System (STAS) in eastern Namibia. The proponent is Headspring Investments (Pty) Ltd, the Namibian subsidiary of the Rosatom-controlled Uranium One Group. The project sits within a wider basin-area exploration programme of 26 active and pending Exclusive Prospecting Licences covering approximately 59% of the Namibian portion of the basin. The STAS is one of the largest transboundary groundwater resources in the Southern African Development Community (SADC) region, extending across Namibia, Botswana, and South Africa, and is the principal water source for the affected host communities of Aminuis and Leonardville, the wider Omaheke regional population, and the basin's downstream communities. The case is in active regulatory and political development at the report's documentation cut-off of May 2026.</w:t>
      </w:r>
    </w:p>
    <w:p>
      <w:pPr>
        <w:spacing w:before="280" w:after="120"/>
      </w:pPr>
      <w:r>
        <w:rPr>
          <w:b/>
          <w:color w:val="1F3864"/>
          <w:sz w:val="27"/>
        </w:rPr>
        <w:t>The research question</w:t>
      </w:r>
    </w:p>
    <w:p>
      <w:pPr>
        <w:spacing w:line="336" w:lineRule="auto" w:after="160"/>
        <w:jc w:val="both"/>
      </w:pPr>
      <w:r>
        <w:rPr>
          <w:i w:val="0"/>
          <w:sz w:val="23"/>
        </w:rPr>
        <w:t>The research question is two-limbed. Under the structural, procedural, and regulatory conditions the case presents, what positions, observations, and absences populate the field of contestation around the project; and what would be required for a defensible social-licence question to be asked and answered within the Namibian regulatory architecture? The first limb governs the structural-conditions analysis in Chapter 5 and the field-of-contestation mapping in Chapter 6. The second limb governs the regulatory-architectural critique in Chapter 7.</w:t>
      </w:r>
    </w:p>
    <w:p>
      <w:pPr>
        <w:spacing w:before="280" w:after="120"/>
      </w:pPr>
      <w:r>
        <w:rPr>
          <w:b/>
          <w:color w:val="1F3864"/>
          <w:sz w:val="27"/>
        </w:rPr>
        <w:t>Methodology</w:t>
      </w:r>
    </w:p>
    <w:p>
      <w:pPr>
        <w:spacing w:line="336" w:lineRule="auto" w:after="160"/>
        <w:jc w:val="both"/>
      </w:pPr>
      <w:r>
        <w:rPr>
          <w:i w:val="0"/>
          <w:sz w:val="23"/>
        </w:rPr>
        <w:t>The research design is a single-case in-depth qualitative study conducted under a hybrid directed-inductive thematic-analysis methodology, structured by a four-channel evidentiary discipline that separates documented organisational evidence, aggregated community evidence, individual informed-observer evidence, and structural-absence evidence. The primary corpus consists of seventeen sources: nine key informant interviews; one institutional interview with the Leonardville Village Council; one interview with a Leonardville-area local resident; and six community focus groups (n=57 participants) across Aminuis and Leonardville. Fieldwork was conducted in the first quarter of 2026. The primary corpus is complemented by a structured documentary corpus covering the period 2020 to 2026 and consolidated in a 50-row source matrix. The research was initiated by the author, Christie Keulder of Cirrus Survey Warehouse (Namibia), and funded by Friedrich Ebert Stiftung (FES) Namibia following a funding proposal submitted by the author.</w:t>
      </w:r>
    </w:p>
    <w:p>
      <w:pPr>
        <w:spacing w:before="280" w:after="120"/>
      </w:pPr>
      <w:r>
        <w:rPr>
          <w:b/>
          <w:color w:val="1F3864"/>
          <w:sz w:val="27"/>
        </w:rPr>
        <w:t>Principal findings</w:t>
      </w:r>
    </w:p>
    <w:p>
      <w:pPr>
        <w:spacing w:line="336" w:lineRule="auto" w:after="160"/>
        <w:jc w:val="both"/>
      </w:pPr>
      <w:r>
        <w:rPr>
          <w:i w:val="0"/>
          <w:sz w:val="23"/>
        </w:rPr>
        <w:t>Chapter 5 establishes that the case's structural conditions of legitimacy are configured against six dimensions: a sparse and asymmetric information environment; a trust environment in which distrust extends in seven distinct directions; a political economy of acute service deficits and high unemployment; water as a non-substitutable resource in the affected communities' pastoralist livelihood architecture; place attachment in non-relocable communities; and the documented Aminuis-Leonardville gradient between principled refusal and materially-conditioned ambivalence. These conditions produce a structural ground against which the surface procedural arrangements do not adequately operate.</w:t>
      </w:r>
    </w:p>
    <w:p>
      <w:pPr>
        <w:spacing w:line="336" w:lineRule="auto" w:after="160"/>
        <w:jc w:val="both"/>
      </w:pPr>
      <w:r>
        <w:rPr>
          <w:i w:val="0"/>
          <w:sz w:val="23"/>
        </w:rPr>
        <w:t>Chapter 6 maps the field of contestation under the four-channel evidentiary discipline. The proponent's documented position is industrially monolithic. The state's position is split across four overlapping parties (the Ministry of Mines and Energy maintaining the Exclusive Prospecting Licences; the Office of the Environmental Commissioner in the Ministry of Environment, Forestry and Tourism running the active environmental clearance process; the Ministry of Agriculture, Water and Land Reform whose 2021 permit withdrawal has not been retracted; and the Parliamentary Standing Committee on Natural Resources which has recommended that exploration be allowed to continue). The documented opposition is substantively convergent across SAUMA, the Namibian Chamber of Environment, the Namibia Agricultural Union, the Republican Party, ORASECOM, IGRAC, Roy Miller, and the Water Solutions Group. The community-level position-typology produces six categories: principled refusers, conditional refusers, wait-and-see, pragmatic acquiescence, materially-dependent ambivalence, and the reluctantly-included local-leadership cluster. Five categories of structural absence are documented as positive evidentiary findings: the governing-party absence, the downstream-state absences, the local-institutional absences, the opposition-party and organised-labour absences, and the structurally absent organised affirmative grassroots voice. Chapter 6 characterises the licence on offer in the case as licence by silence, licence by misrecognition, and licence by asymmetric scope.</w:t>
      </w:r>
    </w:p>
    <w:p>
      <w:pPr>
        <w:spacing w:line="336" w:lineRule="auto" w:after="160"/>
        <w:jc w:val="both"/>
      </w:pPr>
      <w:r>
        <w:rPr>
          <w:i w:val="0"/>
          <w:sz w:val="23"/>
        </w:rPr>
        <w:t>Chapter 7 examines the Namibian regulatory architecture's capacity to host the six procedural conditions a defensible social-licence process in the case would require. The conditions cluster into four change-pathway categories: ministerial discretion within existing statute (Conditions 1, 2, and parts of 6); intergovernmental convening within the SADC Revised Protocol and ILC frameworks (Condition 3); statutory amendment of depth (Condition 4 and parts of 6); and community-side institution-building (Condition 5). The chapter identifies four structural gaps in the Namibian extractive-regulatory architecture: the procedural absence of an inter-ministerial resolution venue; the absence of beneficial-ownership transparency and basin-wide liability arrangements (with the corporate-services-nexus pattern at 19 Bodin Street, Unit 314 Freedom Plaza, and Arno Henker Haus documented in the case); the absence of community-side procedural standing in mineral-rights matters; and the design-level underperformance of the EIA architecture as documented by Pallett and Iipinge (2024). The gaps cluster around three architectural features: reliance on executive discretion as the principal procedural mechanism; calibration to the project as the unit of regulatory analysis; and incomplete reception of the international regulatory-design consensus that has emerged in the two decades since the Minerals Act of 1992 and the Environmental Management Act of 2007 were enacted.</w:t>
      </w:r>
    </w:p>
    <w:p>
      <w:pPr>
        <w:spacing w:before="280" w:after="120"/>
      </w:pPr>
      <w:r>
        <w:rPr>
          <w:b/>
          <w:color w:val="1F3864"/>
          <w:sz w:val="27"/>
        </w:rPr>
        <w:t>What is at stake</w:t>
      </w:r>
    </w:p>
    <w:p>
      <w:pPr>
        <w:spacing w:line="336" w:lineRule="auto" w:after="160"/>
        <w:jc w:val="both"/>
      </w:pPr>
      <w:r>
        <w:rPr>
          <w:i w:val="0"/>
          <w:sz w:val="23"/>
        </w:rPr>
        <w:t>The case is consequential at two levels. At the Namibian extractive-governance level, it brings the gap between the country's mineral-rights and environmental-management statutes and the present-period international regulatory-design consensus into operational view in a single high-profile case. The architecture is, on the report's evidence, capable of hosting a defensible licence-producing process; its constitutive mechanisms provide for what the case requires. Its operation, at the time of writing, does not. At the transboundary-aquifer governance level, the case is precedent-setting: the procedural configurations through which it is resolved will, on the comparative pattern, condition the configurations through which subsequent extractive cases on transboundary aquifers in the SADC region are addressed.</w:t>
      </w:r>
    </w:p>
    <w:p>
      <w:pPr>
        <w:spacing w:line="336" w:lineRule="auto" w:after="160"/>
        <w:jc w:val="both"/>
      </w:pPr>
      <w:r>
        <w:rPr>
          <w:i w:val="0"/>
          <w:sz w:val="23"/>
        </w:rPr>
        <w:t>The report's central analytical proposition is that the Headspring case is not, in regulatory-architectural terms, a case of an architecture that has produced a social-licence outcome the affected community would refuse. It is a case of an architecture that has not, on the documented record, produced the procedural configuration in which the social-licence question can be coherently asked at all. The distinction matters for what follows: the first kind of case calls for substantive reconsideration of the project; the second kind calls for the architecture's reform to the point at which the substantive reconsideration can be conducted within the procedural configuration it requires. Which of the two outcomes the case produces (substantive reconsideration following architectural reform, or surface-level processing within the architecture's present limits) is, on the documented evidence at the report's cut-off, an open question. The report's contribution is the consolidated analytical ground on which the actors positioned within the field can make informed decisions over the period ahead.</w:t>
      </w:r>
    </w:p>
    <w:p>
      <w:r>
        <w:br w:type="page"/>
      </w:r>
    </w:p>
    <w:p>
      <w:pPr>
        <w:jc w:val="center"/>
      </w:pPr>
      <w:r>
        <w:rPr>
          <w:b/>
          <w:color w:val="595959"/>
          <w:sz w:val="26"/>
        </w:rPr>
        <w:t>CHAPTER 1</w:t>
      </w:r>
    </w:p>
    <w:p>
      <w:pPr>
        <w:jc w:val="center"/>
      </w:pPr>
      <w:r>
        <w:rPr>
          <w:b/>
          <w:color w:val="1F3864"/>
          <w:sz w:val="44"/>
        </w:rPr>
        <w:t>INTRODUCTION</w:t>
      </w:r>
    </w:p>
    <w:p>
      <w:pPr>
        <w:jc w:val="center"/>
      </w:pPr>
      <w:r>
        <w:rPr>
          <w:i/>
          <w:color w:val="595959"/>
          <w:sz w:val="24"/>
        </w:rPr>
        <w:t>The case, the question, the contribution, and the structure of the report</w:t>
      </w:r>
    </w:p>
    <w:p/>
    <w:p/>
    <w:p>
      <w:pPr>
        <w:spacing w:before="360" w:after="120"/>
      </w:pPr>
      <w:r>
        <w:rPr>
          <w:b/>
          <w:color w:val="1F3864"/>
          <w:sz w:val="32"/>
        </w:rPr>
        <w:t>1.1  The case in brief</w:t>
      </w:r>
    </w:p>
    <w:p>
      <w:pPr>
        <w:spacing w:line="336" w:lineRule="auto" w:after="160"/>
        <w:jc w:val="both"/>
      </w:pPr>
      <w:r>
        <w:rPr>
          <w:sz w:val="23"/>
        </w:rPr>
        <w:t>This report examines a single Namibian extractive case at a moment in its regulatory and political life that the comparative experience of extractive jurisdictions suggests is decisive. The case is the proposed Headspring Investments uranium project in the Stampriet Transboundary Aquifer System (STAS, the cross-border aquifer underlying eastern Namibia, southern Botswana, and the northern Cape of South Africa), together with the wider basin-area uranium exploration programme of which it is the visible front-runner. Headspring Investments is the Namibian subsidiary of the Rosatom-controlled Uranium One Group. The project would, on the proponent's documented design, extract uranium through the chemical leaching of the host aquifer in place, using a technology called in-situ recovery (ISR) by the proponent and in-situ leach (ISL) in much of the international scientific literature. The two terms describe the same process. ISR has documented contamination histories in other jurisdictions and a hydrogeological risk profile that international scientific work treats as particularly sensitive to the specific configuration of the aquifer being mined. The STAS is one of the largest transboundary aquifers in the Southern African Development Community (SADC) region. For the Aminuis and Leonardville communities in eastern Namibia, and for the wider basin population in southern Botswana and the northern Cape of South Africa, it is the principal source of drinking water and the only resource sustaining the pastoralist livelihood that dominates the area.</w:t>
      </w:r>
    </w:p>
    <w:p>
      <w:pPr>
        <w:spacing w:line="336" w:lineRule="auto" w:after="160"/>
        <w:jc w:val="both"/>
      </w:pPr>
      <w:r>
        <w:rPr>
          <w:sz w:val="23"/>
        </w:rPr>
        <w:t>The case is consequential at two levels at once. At the level of the Namibian regulatory architecture, it brings the gap between the country's mineral-rights and environmental-management statutes (enacted in 1992 and 2007 respectively) and the international regulatory-design consensus that has emerged in the two decades since into operational view in a single high-profile case. At the level of transboundary-aquifer governance, it raises in concrete form the questions of prior notification, co-operative protection, and basin-scale liability that the international groundwater-law literature has been developing for the SADC region's shared water resources. The case is, in this respect, precedent-setting rather than isolated. The procedural configurations through which it is resolved will, on the comparative pattern, condition the configurations through which subsequent extractive cases on transboundary aquifers in the region are addressed.</w:t>
      </w:r>
    </w:p>
    <w:p>
      <w:pPr>
        <w:spacing w:line="336" w:lineRule="auto" w:after="160"/>
        <w:jc w:val="both"/>
      </w:pPr>
      <w:r>
        <w:rPr>
          <w:sz w:val="23"/>
        </w:rPr>
        <w:t>The case is also, in its political and procedural life, in active motion. At the report's documentation cut-off (end of May 2026), no environmental clearance certificate has been issued. The Ministry of Agriculture, Water and Land Reform's 2021 permit withdrawal has not been retracted. The Cabinet has issued a 'decision based on science' formulation that has not yet been put into effect. The Parliamentary Standing Committee on Natural Resources has recommended that exploration be allowed to continue. And the documented opposition (the South Africa and Namibia-based civil-society and scientific bodies that have examined the case) has consolidated a substantial technical, legal, and procedural critique. The case is the kind of case the comparative literature suggests can produce either a major regulatory-reform episode or a deferral that allows the architecture's gaps to remain in place. Which of the two outcomes it will produce, on the evidence the report develops, is not now settled.</w:t>
      </w:r>
    </w:p>
    <w:p>
      <w:pPr>
        <w:spacing w:before="360" w:after="120"/>
      </w:pPr>
      <w:r>
        <w:rPr>
          <w:b/>
          <w:color w:val="1F3864"/>
          <w:sz w:val="32"/>
        </w:rPr>
        <w:t>1.2  The research problem</w:t>
      </w:r>
    </w:p>
    <w:p>
      <w:pPr>
        <w:spacing w:line="336" w:lineRule="auto" w:after="160"/>
        <w:jc w:val="both"/>
      </w:pPr>
      <w:r>
        <w:rPr>
          <w:sz w:val="23"/>
        </w:rPr>
        <w:t>The research problem this report addresses is structural rather than substantive. It is not the problem of whether the Headspring project should proceed. That is a substantive question whose resolution depends on hydrogeological assessment, regulatory decision-making, and the configuration of consent-giving parties, none of which the report itself undertakes. It is the prior problem of whether the procedural configuration in which the substantive question is being asked is capable of producing a defensible answer at all. The evidence developed across Chapters 5 to 8 is that, under present procedural configuration, it is not.</w:t>
      </w:r>
    </w:p>
    <w:p>
      <w:pPr>
        <w:spacing w:line="336" w:lineRule="auto" w:after="160"/>
        <w:jc w:val="both"/>
      </w:pPr>
      <w:r>
        <w:rPr>
          <w:sz w:val="23"/>
        </w:rPr>
        <w:t>Three features of the case combine to produce the problem in this form.</w:t>
      </w:r>
    </w:p>
    <w:p>
      <w:pPr>
        <w:spacing w:line="336" w:lineRule="auto" w:after="160"/>
        <w:jc w:val="both"/>
      </w:pPr>
      <w:r>
        <w:rPr>
          <w:sz w:val="23"/>
        </w:rPr>
        <w:t>The first is structural. The structural conditions of legitimacy in the affected communities (the recurring background conditions that shape whether the project is judged legitimate or not) include a depleted information environment, a fragmented trust environment, a political economy of acute service deficits and high unemployment, the non-substitutability of water in the pastoralist economy, the non-relocability of place attachment, and the gradient of refusal and ambivalence between Aminuis and Leonardville. Surface procedural arrangements (consultations, EIA processes, ministerial decisions, parliamentary recommendations) do not, on their own, account for any of these conditions. Chapter 5 establishes them in detail.</w:t>
      </w:r>
    </w:p>
    <w:p>
      <w:pPr>
        <w:spacing w:line="336" w:lineRule="auto" w:after="160"/>
        <w:jc w:val="both"/>
      </w:pPr>
      <w:r>
        <w:rPr>
          <w:sz w:val="23"/>
        </w:rPr>
        <w:t>The second is procedural. The documented field is populated by positions whose convergence has not produced procedural resolution: the proponent's monolithic industrial framing; the state's four-overlapping-parties configuration; the documented opposition's substantive convergence; the community-level architecture of refusal and conditional engagement; and a set of structural absences (the governing party, the downstream states, organised labour, the affirmative grassroots voice) whose cumulative effect is to place the burden of procedural resolution on actors not institutionally configured to carry it. Chapter 6 maps the field in full.</w:t>
      </w:r>
    </w:p>
    <w:p>
      <w:pPr>
        <w:spacing w:line="336" w:lineRule="auto" w:after="160"/>
        <w:jc w:val="both"/>
      </w:pPr>
      <w:r>
        <w:rPr>
          <w:sz w:val="23"/>
        </w:rPr>
        <w:t>The third is architectural. The regulatory architecture itself has gaps at the design level (gaps the report identifies as structural rather than incidental) that prevent the architecture from producing the procedural configuration the substantive question requires. Chapter 7 examines those gaps.</w:t>
      </w:r>
    </w:p>
    <w:p>
      <w:pPr>
        <w:spacing w:line="336" w:lineRule="auto" w:after="160"/>
        <w:jc w:val="both"/>
      </w:pPr>
      <w:r>
        <w:rPr>
          <w:sz w:val="23"/>
        </w:rPr>
        <w:t>These three features combine into the report's central analytical claim. The Headspring case is not, on the evidence, a case in which a regulatory architecture has produced a social-licence outcome the affected community would refuse. It is a case in which a regulatory architecture has not, on the documented record, produced the procedural configuration in which the social-licence question can be coherently asked at all. The distinction matters for what follows from the case, and it structures the analytical chapters. Chapters 5, 6, and 7 establish, in turn, the structural conditions, the field of contestation, and the regulatory-architectural critique on which the claim rests. Chapter 8 closes the report against the same claim and identifies what is at stake at each of the two levels at which the case is consequential.</w:t>
      </w:r>
    </w:p>
    <w:p>
      <w:pPr>
        <w:spacing w:before="360" w:after="120"/>
      </w:pPr>
      <w:r>
        <w:rPr>
          <w:b/>
          <w:color w:val="1F3864"/>
          <w:sz w:val="32"/>
        </w:rPr>
        <w:t>1.3  The research question</w:t>
      </w:r>
    </w:p>
    <w:p>
      <w:pPr>
        <w:spacing w:line="336" w:lineRule="auto" w:after="160"/>
        <w:jc w:val="both"/>
      </w:pPr>
      <w:r>
        <w:rPr>
          <w:sz w:val="23"/>
        </w:rPr>
        <w:t>The research question is two-limbed. Under the structural, procedural, and regulatory conditions the Headspring case in the STAS presents: first, what positions, observations, and absences populate the field of contestation around the project; and second, what would be required for a defensible social-licence question to be asked and answered within the Namibian regulatory architecture? The first limb governs the structural-conditions analysis in Chapter 5 and the field-of-contestation mapping in Chapter 6. The second limb governs the regulatory-architectural critique in Chapter 7. The question is stated in its fullest operative form at §7.1 and consolidated at the report's closing in §8.1. The job of the present chapter is to introduce it, not to develop it in operative form.</w:t>
      </w:r>
    </w:p>
    <w:p>
      <w:pPr>
        <w:spacing w:line="336" w:lineRule="auto" w:after="160"/>
        <w:jc w:val="both"/>
      </w:pPr>
      <w:r>
        <w:rPr>
          <w:sz w:val="23"/>
        </w:rPr>
        <w:t>Two observations about the question's form may be useful at this stage. The question is structural rather than evaluative. It does not ask whether the case will, in fact, produce social licence. It asks what the field looks like and what would be required for the question to be defensibly asked. The question is also deliberately case-focused. It concerns the Headspring case and the Namibian regulatory architecture as it stands, not the broader social-licence literature on extractive cases of comparable kinds.</w:t>
      </w:r>
    </w:p>
    <w:p>
      <w:pPr>
        <w:spacing w:before="360" w:after="120"/>
      </w:pPr>
      <w:r>
        <w:rPr>
          <w:b/>
          <w:color w:val="1F3864"/>
          <w:sz w:val="32"/>
        </w:rPr>
        <w:t>1.4  The report's contribution</w:t>
      </w:r>
    </w:p>
    <w:p>
      <w:pPr>
        <w:spacing w:line="336" w:lineRule="auto" w:after="160"/>
        <w:jc w:val="both"/>
      </w:pPr>
      <w:r>
        <w:rPr>
          <w:sz w:val="23"/>
        </w:rPr>
        <w:t>The report contributes to two principal target fields: the Namibian extractive-governance policy and regulatory community, and the affected-community advocacy ecosystem.</w:t>
      </w:r>
    </w:p>
    <w:p>
      <w:pPr>
        <w:spacing w:line="336" w:lineRule="auto" w:after="160"/>
        <w:jc w:val="both"/>
      </w:pPr>
      <w:r>
        <w:rPr>
          <w:sz w:val="23"/>
        </w:rPr>
        <w:t>At the regulatory level, the report contributes a structured critique of the Namibian extractive-regulatory architecture, developed against six procedural conditions that a defensible social-licence process in the STAS case would require. The conditions are specified at §6.7.6 and walked through against the relevant Namibian statute and recent regulatory practice at §7.2. The walkthrough produces a typology of regulatory-change pathways (Figure 7.1) in which the six conditions cluster into four categories: ministerial discretion within existing statute, diplomatic and intergovernmental convening, statutory amendment, and community-side institution-building. The conditions are differently amenable to the four pathways and operate on different political-feasibility horizons. Chapter 7 then identifies four structural gaps in the architecture itself (§7.3, Figure 7.2) and examines the political economy of the reform horizon (§7.5) in reserved-analytic register. The regulatory contribution is positioned for the Namibian parliamentary, ministerial, and regulatory readership and for the international SADC-region extractive-governance community.</w:t>
      </w:r>
    </w:p>
    <w:p>
      <w:pPr>
        <w:spacing w:line="336" w:lineRule="auto" w:after="160"/>
        <w:jc w:val="both"/>
      </w:pPr>
      <w:r>
        <w:rPr>
          <w:sz w:val="23"/>
        </w:rPr>
        <w:t>At the advocacy level, the report contributes a consolidated documentary record of the field of contestation around the project across the 2020 to 2026 period: the documented organisational positions (Chapter 6 §6.2); the structural-conditions analyses against which those positions operate (Chapter 5); the aggregated community-level positions from the focus-group and Village Council corpus (Chapter 6 §6.4); the individual informed-observer accounts under the methodological discipline that separates them from institutional position-taking (Chapter 6 §6.5); and the structural-absence findings whose cumulative effect §6.6 documents. The advocacy contribution is the consolidated analytical ground on which the work of the affected communities and their allies can proceed.</w:t>
      </w:r>
    </w:p>
    <w:p>
      <w:pPr>
        <w:spacing w:line="336" w:lineRule="auto" w:after="160"/>
        <w:jc w:val="both"/>
      </w:pPr>
      <w:r>
        <w:rPr>
          <w:sz w:val="23"/>
        </w:rPr>
        <w:t>The two contributions are interconnected. The advocacy contribution (the documentary record of positions, observations, and absences in the field) is the evidentiary base on which the regulatory contribution rests. The regulatory contribution (the structured critique of the architecture against the six conditions) gives the advocacy work an architectural object on which sustained engagement can converge. The two are complementary, not parallel. The report has been written so that each readership can derive value from the chapters most directly relevant to its work while having the analytical scaffolding of the other available to draw on.</w:t>
      </w:r>
    </w:p>
    <w:p>
      <w:pPr>
        <w:spacing w:before="360" w:after="120"/>
      </w:pPr>
      <w:r>
        <w:rPr>
          <w:b/>
          <w:color w:val="1F3864"/>
          <w:sz w:val="32"/>
        </w:rPr>
        <w:t>1.5  Audiences and use</w:t>
      </w:r>
    </w:p>
    <w:p>
      <w:pPr>
        <w:spacing w:line="336" w:lineRule="auto" w:after="160"/>
        <w:jc w:val="both"/>
      </w:pPr>
      <w:r>
        <w:rPr>
          <w:sz w:val="23"/>
        </w:rPr>
        <w:t>The report is positioned to address two principal readerships within a single analytical frame. The first is the Namibian regulatory, parliamentary, and ministerial readership: the Office of the Environmental Commissioner; the Ministries of Mines and Energy, of Environment, Forestry and Tourism, and of Agriculture, Water and Land Reform; the Parliamentary Standing Committee on Natural Resources, together with the wider opposition and majority parliamentary caucuses; the Office of the Attorney-General; and the comparable regulatory bodies in Botswana and South Africa with transboundary-aquifer jurisdiction. Chapters 6 and 7 §§7.2 to 7.3 carry the principal weight for this readership.</w:t>
      </w:r>
    </w:p>
    <w:p>
      <w:pPr>
        <w:spacing w:line="336" w:lineRule="auto" w:after="160"/>
        <w:jc w:val="both"/>
      </w:pPr>
      <w:r>
        <w:rPr>
          <w:sz w:val="23"/>
        </w:rPr>
        <w:t>The second is the affected-community advocacy readership: SAUMA (the Stampriet Aquifer Uranium Mining Association); the Namibian Chamber of Environment; the Namibia Agricultural Union; the Legal Assistance Centre; the Environmental Compliance Consultancy; the community organisations in Aminuis and Leonardville; and the wider Namibian civil-society constituency engaged with the case. Chapters 5 and 6, together with the consolidated documentary record, carry the principal weight for this readership.</w:t>
      </w:r>
    </w:p>
    <w:p>
      <w:pPr>
        <w:spacing w:line="336" w:lineRule="auto" w:after="160"/>
        <w:jc w:val="both"/>
      </w:pPr>
      <w:r>
        <w:rPr>
          <w:sz w:val="23"/>
        </w:rPr>
        <w:t>The report has been written so that no readership is required to engage chapters outside its principal interests in order to derive value from those that are. The chapters are interconnected (Chapter 7's regulatory critique depends on Chapter 6's documented record, which in turn depends on Chapter 5's structural-conditions analysis), but each chapter is substantially self-standing and signals where readers can find the supporting material it relies on. Chapter 8 consolidates the report's findings for an educated general readership without specialist knowledge of either of the two principal fields.</w:t>
      </w:r>
    </w:p>
    <w:p>
      <w:pPr>
        <w:spacing w:before="360" w:after="120"/>
      </w:pPr>
      <w:r>
        <w:rPr>
          <w:b/>
          <w:color w:val="1F3864"/>
          <w:sz w:val="32"/>
        </w:rPr>
        <w:t>1.6  The structure of the report</w:t>
      </w:r>
    </w:p>
    <w:p>
      <w:pPr>
        <w:spacing w:line="336" w:lineRule="auto" w:after="160"/>
        <w:jc w:val="both"/>
      </w:pPr>
      <w:r>
        <w:rPr>
          <w:sz w:val="23"/>
        </w:rPr>
        <w:t>The report is organised in eight chapters. Chapter 1, the present chapter, introduces the case, states the research question, previews the contribution, and identifies the audiences. Chapter 2 sets out the case's empirical context: the hydrogeology of the STAS, the Headspring project's design and corporate configuration, the basin-wide programme of exclusive prospecting licences (EPLs) into which the Headspring component fits, the Namibian regulatory landscape, and the host-community and wider basin-population geography. Chapter 3 conducts the literature review across the four bodies of scholarship the report draws on: the social-licence-to-operate literature; the procedural-justice, recognition-justice, and FPIC literatures; the extractive-governance and regulatory-design literatures; and the transboundary-groundwater-law literature. Chapter 4 sets out the methodology: the research design, the sampling strategy, the fieldwork conduct, the four-channel evidentiary discipline in operative form, the documentary methodology (the 2020 to 2026 media and organisational-record search, and the corporate-attribution discipline that governs the EPL analysis), the ethics, and a preview of the limitations §7.6 develops.</w:t>
      </w:r>
    </w:p>
    <w:p>
      <w:pPr>
        <w:spacing w:line="336" w:lineRule="auto" w:after="160"/>
        <w:jc w:val="both"/>
      </w:pPr>
      <w:r>
        <w:rPr>
          <w:sz w:val="23"/>
        </w:rPr>
        <w:t>Chapter 5 establishes the structural conditions of legitimacy in the affected communities across six dimensions: the information environment; the trust environment; the political economy of openness; water as a non-substitutable resource; place attachment and non-relocability; and the Aminuis to Leonardville gradient. Chapter 6 maps the positions, observations, and absences in the field of contestation across the four-channel evidentiary discipline, closing at §6.7 with a synthesis that specifies six procedural conditions a defensible social-licence process in the case would require. Chapter 7 examines those conditions against the Namibian regulatory architecture's capacity to host them (§7.2), identifies four structural gaps in the architecture itself (§7.3), makes explicit the analytical scaffolding the critique draws on from the social-licence and extractive-governance literatures (§7.4), examines the political economy of the reform horizon in reserved-analytic register (§7.5), names the present study's limits (§7.6), and closes with an analytic consolidation of the regulatory-architectural critique (§7.7). Chapter 8 closes the report by consolidating its findings across the two levels at which the case is consequential (the Namibian extractive-governance level and the transboundary-aquifer governance level) and by identifying what is at stake at each.</w:t>
      </w:r>
    </w:p>
    <w:p>
      <w:pPr>
        <w:spacing w:line="336" w:lineRule="auto" w:after="160"/>
        <w:jc w:val="both"/>
      </w:pPr>
      <w:r>
        <w:rPr>
          <w:sz w:val="23"/>
        </w:rPr>
        <w:t>Eight figures appear across the report. One in Chapter 4 (Figure 4.1 on the four-channel evidentiary discipline). One in Chapter 5 (Figure 5.1 on the trust environment). Three in Chapter 6 (Figure 6.1 on community positions; Figure 6.2 on the social-licence pyramid; Figure 6.3 on the basin-wide EPL landscape). And two in Chapter 7 (Figure 7.1 on the feasibility matrix of conditions against regulatory-change pathways; Figure 7.2 on the structural gaps and their connections to the §6.7.6 conditions and to the Chapter 5 structural conditions of legitimacy). Chapter 2 also carries three contextual figures (the STAS context map, the hydrogeological schematic, and the regulatory architecture diagram). A consolidated source matrix (Sheet 6 of the report's analytical matrix) accompanies the report as an annex and contains the fifty documented organisational-level entries that populate Chapter 6 §6.2.</w:t>
      </w:r>
    </w:p>
    <w:p>
      <w:pPr>
        <w:spacing w:before="360" w:after="120"/>
      </w:pPr>
      <w:r>
        <w:rPr>
          <w:b/>
          <w:color w:val="1F3864"/>
          <w:sz w:val="32"/>
        </w:rPr>
        <w:t>1.7  A note on terminology, conventions, limits, and disclosure</w:t>
      </w:r>
    </w:p>
    <w:p>
      <w:pPr>
        <w:spacing w:line="336" w:lineRule="auto" w:after="160"/>
        <w:jc w:val="both"/>
      </w:pPr>
      <w:r>
        <w:rPr>
          <w:sz w:val="23"/>
        </w:rPr>
        <w:t>The report adopts a consistent terminological discipline. The Stampriet Transboundary Aquifer System is termed the STAS throughout. The underlying basin is the Stampriet Artesian Basin (SAB) where the geological rather than the transboundary-aquifer sense is intended. 'Stampriet' without a modifier refers to the settlement of Stampriet, distinct from the aquifer and the basin. The mining technology is termed in-situ recovery (ISR) where the proponent's preferred formulation is at issue, and in-situ leach (ISL) where the international scientific literature's term is operative. The two are technologically equivalent. Exclusive prospecting licences are termed EPLs. The proponent is Headspring Investments, the Namibian subsidiary of the Rosatom-controlled Uranium One Group. The corporate-attribution discipline that governs the report's treatment of the wider EPL landscape and of contested corporate identifications is developed at Chapter 6 §6.2.7 and §6.7.4 and applied throughout Chapters 6 and 7.</w:t>
      </w:r>
    </w:p>
    <w:p>
      <w:pPr>
        <w:spacing w:line="336" w:lineRule="auto" w:after="160"/>
        <w:jc w:val="both"/>
      </w:pPr>
      <w:r>
        <w:rPr>
          <w:sz w:val="23"/>
        </w:rPr>
        <w:t>Several abbreviations recur across the report and are glossed on their first appearance: the Ministry of Mines and Energy (MME); the Ministry of Environment, Forestry and Tourism (MEFT) and its Office of the Environmental Commissioner; the Ministry of Agriculture, Water and Land Reform (MAWLR); the Namibian Uranium Association (NUA); the Namibian Chamber of Environment (NCE); the Namibia Agricultural Union (NAU); the Stampriet Aquifer Uranium Mining Association (SAUMA); the Legal Assistance Centre (LAC); the Environmental Compliance Consultancy (ECC); the International Groundwater Resources Assessment Centre (IGRAC); the Orange-Senqu River Commission (ORASECOM); the Extractive Industries Transparency Initiative (EITI); the International Law Commission (ILC); the Environmental Assessment Practitioners Association of Namibia (EAPAN); the Free, Prior and Informed Consent doctrine (FPIC); the Namibian Environment and Wildlife Society (NEWS); the Independent Patriots for Change (IPC); the Republican Party (RP); and the Popular Democratic Movement (PDM). A consolidated list of abbreviations appears in the report's front matter. The Harvard (cite-them-right) referencing convention is used throughout, and the consolidated reference list appears at the end of the report.</w:t>
      </w:r>
    </w:p>
    <w:p>
      <w:pPr>
        <w:spacing w:line="336" w:lineRule="auto" w:after="160"/>
        <w:jc w:val="both"/>
      </w:pPr>
      <w:r>
        <w:rPr>
          <w:sz w:val="23"/>
        </w:rPr>
        <w:t>The report's documentation cut-off date is the end of May 2026. The case is in active regulatory and political development, and material has continued to emerge after the cut-off. The report works from the documented record as it stood at that date and notes, at §7.6.5, that subsequent developments will require iterative re-examination. Six analytical limits to the present study are named at §7.6, each presented as defensible openness rather than as a defect: the open record's limits on corporate-ownership transparency beyond Headspring itself; the absence of direct engagement with the proponent; the absence of fieldwork in the downstream-state portions of the basin; the absence of an explicit hydrogeological assessment within the social-research remit; the moving-target character of the case at the time of writing; and the question of whether a wider basin-community survey would extend the qualitative findings. The limits structure the openings for further work the report identifies.</w:t>
      </w:r>
    </w:p>
    <w:p>
      <w:pPr>
        <w:spacing w:line="336" w:lineRule="auto" w:after="160"/>
        <w:jc w:val="both"/>
      </w:pPr>
      <w:r>
        <w:rPr>
          <w:sz w:val="23"/>
        </w:rPr>
        <w:t>The study was initiated by the author, Christie Keulder of Cirrus Survey Warehouse (Namibia), and funded by Friedrich Ebert Stiftung (FES) Namibia following a funding proposal submitted by the author. The research agenda, the analytical framing, the methodology, the findings, and the conclusions are the author's; they do not necessarily represent the views of FES Namibia or of any other party identified in the report. The author has no commercial relationship with the proponent, with the proponent's corporate parent, or with the Namibian regulatory bodies referenced in the report. The author thanks the key informants who gave their time to the interviews on which the report draws, the focus-group participants in Aminuis and Leonardville, and the civil-society and intergovernmental actors whose documented work has populated the case's open record and made the present analytical undertaking possible. FES Namibia's funding support is gratefully acknowledged.</w:t>
      </w:r>
    </w:p>
    <w:p>
      <w:r>
        <w:br w:type="page"/>
      </w:r>
    </w:p>
    <w:p>
      <w:pPr>
        <w:jc w:val="center"/>
      </w:pPr>
      <w:r>
        <w:rPr>
          <w:b/>
          <w:color w:val="595959"/>
          <w:sz w:val="26"/>
        </w:rPr>
        <w:t>CHAPTER 2</w:t>
      </w:r>
    </w:p>
    <w:p>
      <w:pPr>
        <w:jc w:val="center"/>
      </w:pPr>
      <w:r>
        <w:rPr>
          <w:b/>
          <w:color w:val="1F3864"/>
          <w:sz w:val="44"/>
        </w:rPr>
        <w:t>CONTEXT</w:t>
      </w:r>
    </w:p>
    <w:p>
      <w:pPr>
        <w:jc w:val="center"/>
      </w:pPr>
      <w:r>
        <w:rPr>
          <w:i/>
          <w:color w:val="595959"/>
          <w:sz w:val="24"/>
        </w:rPr>
        <w:t>The aquifer system, the project, the basin-wide programme, the regulatory landscape, and the host communities</w:t>
      </w:r>
    </w:p>
    <w:p/>
    <w:p/>
    <w:p>
      <w:pPr>
        <w:spacing w:before="360" w:after="120"/>
      </w:pPr>
      <w:r>
        <w:rPr>
          <w:b/>
          <w:color w:val="1F3864"/>
          <w:sz w:val="32"/>
        </w:rPr>
        <w:t>2.1  The Stampriet Transboundary Aquifer System: hydrogeology and geography</w:t>
      </w:r>
    </w:p>
    <w:p>
      <w:pPr>
        <w:spacing w:line="336" w:lineRule="auto" w:after="160"/>
        <w:jc w:val="both"/>
      </w:pPr>
      <w:r>
        <w:rPr>
          <w:sz w:val="23"/>
        </w:rPr>
        <w:t>The Stampriet Transboundary Aquifer System (STAS), also termed in the Namibian hydrogeological literature the Stampriet Artesian Basin (SAB) where the geological rather than the transboundary-aquifer sense is intended, is one of the largest groundwater systems in the Southern African Development Community (SADC) region. It covers approximately 140,000 km² across the territories of three countries: roughly 71,000 km² in Namibia (the south-eastern Kalahari region, including the Omaheke, Hardap, and Khomas regions); a smaller extent in south-western Botswana; and an area in the Northern Cape Province of South Africa, including the Kgalagadi Transfrontier National Park. The shared international boundary length across which the basin extends exceeds 1,000 km (Joel, 2014). The Cirrus (2026) economic-impact assessment reports a larger figure for the basin's Namibian portion at approximately 87,000 km², drawn from a different basin-boundary delineation methodology that includes administrative-constituency proxies for the assessment's socio-economic analysis. The two figures are used consistently within their respective source documents, and the report draws on whichever is appropriate to the analytical context. Figure 2.1 renders the basin's regional position in schematic form.</w:t>
      </w:r>
    </w:p>
    <w:p>
      <w:pPr>
        <w:jc w:val="center"/>
      </w:pPr>
      <w:r>
        <w:drawing>
          <wp:inline xmlns:a="http://schemas.openxmlformats.org/drawingml/2006/main" xmlns:pic="http://schemas.openxmlformats.org/drawingml/2006/picture">
            <wp:extent cx="5669280" cy="3524981"/>
            <wp:docPr id="1" name="Picture 1"/>
            <wp:cNvGraphicFramePr>
              <a:graphicFrameLocks noChangeAspect="1"/>
            </wp:cNvGraphicFramePr>
            <a:graphic>
              <a:graphicData uri="http://schemas.openxmlformats.org/drawingml/2006/picture">
                <pic:pic>
                  <pic:nvPicPr>
                    <pic:cNvPr id="0" name="Figure_2_1_STAS_Context_Map.png"/>
                    <pic:cNvPicPr/>
                  </pic:nvPicPr>
                  <pic:blipFill>
                    <a:blip r:embed="rId9"/>
                    <a:stretch>
                      <a:fillRect/>
                    </a:stretch>
                  </pic:blipFill>
                  <pic:spPr>
                    <a:xfrm>
                      <a:off x="0" y="0"/>
                      <a:ext cx="5669280" cy="3524981"/>
                    </a:xfrm>
                    <a:prstGeom prst="rect"/>
                  </pic:spPr>
                </pic:pic>
              </a:graphicData>
            </a:graphic>
          </wp:inline>
        </w:drawing>
      </w:r>
    </w:p>
    <w:p>
      <w:pPr>
        <w:spacing w:after="240"/>
        <w:jc w:val="center"/>
      </w:pPr>
      <w:r>
        <w:rPr>
          <w:i/>
          <w:color w:val="595959"/>
          <w:sz w:val="21"/>
        </w:rPr>
        <w:t>Figure 2.1. The Stampriet Transboundary Aquifer System (STAS) in regional context. Schematic representation showing approximate basin extent across Namibia, Botswana, and South Africa; the Auob and Nossob river systems; the host communities of Aminuis and Leonardville; the position relative to Windhoek and the Kgalagadi Transfrontier National Park; and the general north-west to south-east artesian flow direction. Source: schematic compilation from Joel (2014); not to cartographic precision.</w:t>
      </w:r>
    </w:p>
    <w:p>
      <w:pPr>
        <w:spacing w:line="336" w:lineRule="auto" w:after="160"/>
        <w:jc w:val="both"/>
      </w:pPr>
      <w:r>
        <w:rPr>
          <w:sz w:val="23"/>
        </w:rPr>
        <w:t>The basin was discovered in 1912 by the Bohrkolonne Süd under the geologist Dr. Paul Range, in the course of a search for coal that had been located in the Ecca Formation across the border in Transvaal. A borehole sunk at Stamprietfontein (as the settlement of Stampriet was then known) struck artesian water, and the basin became the foundation of subsequent agricultural development in south-eastern Namibia. Hydrogeological investigations were consolidated from the 1950s onward through the Geological Survey of Namibia, with subsequent hydrochemistry, water-quality, and isotope-hydrology work conducted through the Council for Scientific and Industrial Research and the establishment of a groundwater database within the Department of Water Affairs (Joel, 2014, drawing on the sequence of earlier Namibian hydrogeological scholarship). The 2001 Namibian hydrogeological map at 1:1,000,000 scale (Bäumle, Bittner et al., 2001) consolidated the cartographic picture. The most substantial post-independence investigations were the Japan International Cooperation Agency (JICA) hydrogeological study of 1999 to 2002 and the parallel IAEA isotope-hydrology study RAF/8/029 (Kirchner, Tredoux, Wierenga, and Christelis, 2002), which together produced the operational understanding of the basin's recharge mechanism on which present management rests. Stone and Edmunds (2012) subsequently developed a mass-balance approach to the basin's sand, salt, and water hydrology that complements the IAEA isotope-hydrology framework.</w:t>
      </w:r>
    </w:p>
    <w:p>
      <w:pPr>
        <w:spacing w:line="336" w:lineRule="auto" w:after="160"/>
        <w:jc w:val="both"/>
      </w:pPr>
      <w:r>
        <w:rPr>
          <w:sz w:val="23"/>
        </w:rPr>
        <w:t>The basin's structural configuration is described, in simplified conceptual form, as a three-tier aquifer system. Figure 2.2 renders the configuration in schematic cross-section. The upper tier is the Kalahari aquifer, an unconfined system in unconsolidated Kalahari sediments overlying the deeper formations. Kalahari aquifer water is of generally poor quality and variable yield. The middle tier is the Auob aquifer, a confined artesian system hosted in the sandstones of the Prince Albert formation within the Karoo Supergroup. The Auob carries water of good quality and is, in places, sufficiently artesian for boreholes to flow under their own pressure. The lower tier is the Nossob aquifer, a deeper confined artesian system, also of good water quality, hosted at greater depth in the same Karoo stratigraphic sequence. Between the unconfined Kalahari and the confined Auob lies the Rietmond Member shale (the 'blue shale'), a confining unit whose stratigraphic continuity is the operative geological feature that allows the Auob aquifer to retain its artesian character. Where the shale is intact, the deeper aquifers are hydraulically separated from the surface and from the poor-quality Kalahari water above. Where the shale is penetrated by inadequately constructed boreholes, the separation is compromised and mixing between the aquifer tiers becomes possible (Ministry of Agriculture, Water and Land Reform [MAWLR], 2021). The basin's total stratigraphic complexity is greater than this three-tier summary suggests. Joel's (2014) GGRETA harmonisation work identifies up to ten distinct aquifers and sub-aquifers in the Namibian portion, and eleven if the smaller alluvial aquifers in the ephemeral Auob and Nossob river beds are counted separately.</w:t>
      </w:r>
    </w:p>
    <w:p>
      <w:pPr>
        <w:jc w:val="center"/>
      </w:pPr>
      <w:r>
        <w:drawing>
          <wp:inline xmlns:a="http://schemas.openxmlformats.org/drawingml/2006/main" xmlns:pic="http://schemas.openxmlformats.org/drawingml/2006/picture">
            <wp:extent cx="5669280" cy="3158831"/>
            <wp:docPr id="2" name="Picture 2"/>
            <wp:cNvGraphicFramePr>
              <a:graphicFrameLocks noChangeAspect="1"/>
            </wp:cNvGraphicFramePr>
            <a:graphic>
              <a:graphicData uri="http://schemas.openxmlformats.org/drawingml/2006/picture">
                <pic:pic>
                  <pic:nvPicPr>
                    <pic:cNvPr id="0" name="Figure_2_2_Hydrogeological_Schematic.png"/>
                    <pic:cNvPicPr/>
                  </pic:nvPicPr>
                  <pic:blipFill>
                    <a:blip r:embed="rId10"/>
                    <a:stretch>
                      <a:fillRect/>
                    </a:stretch>
                  </pic:blipFill>
                  <pic:spPr>
                    <a:xfrm>
                      <a:off x="0" y="0"/>
                      <a:ext cx="5669280" cy="3158831"/>
                    </a:xfrm>
                    <a:prstGeom prst="rect"/>
                  </pic:spPr>
                </pic:pic>
              </a:graphicData>
            </a:graphic>
          </wp:inline>
        </w:drawing>
      </w:r>
    </w:p>
    <w:p>
      <w:pPr>
        <w:spacing w:after="240"/>
        <w:jc w:val="center"/>
      </w:pPr>
      <w:r>
        <w:rPr>
          <w:i/>
          <w:color w:val="595959"/>
          <w:sz w:val="21"/>
        </w:rPr>
        <w:t>Figure 2.2. Schematic hydrogeological cross-section through the Stampriet Transboundary Aquifer System. The figure renders the three principal aquifer tiers (the unconfined Kalahari, the confined Auob hosted in the Prince Albert formation, and the deeper confined Nossob) and the Rietmond Member shale that confines them. The three borehole archetypes illustrate compliant construction (steel casing through the confining shale) and the two non-compliance patterns the MAWLR (2021) Feedback Report documents at the Headspring drilling operations. Sources: Joel (2014); Kirchner et al. (2002); MAWLR (2021).</w:t>
      </w:r>
    </w:p>
    <w:p>
      <w:pPr>
        <w:spacing w:line="336" w:lineRule="auto" w:after="160"/>
        <w:jc w:val="both"/>
      </w:pPr>
      <w:r>
        <w:rPr>
          <w:sz w:val="23"/>
        </w:rPr>
        <w:t>The basin's surface hydrology is dominated by two principal ephemeral rivers, the Auob and the Nossob. Both flow only briefly after large thunderstorms; underground flow within the saturated formations beneath the river beds maintains a degree of vegetation along the channels even during the long dry periods. The Nossob originates in two main tributaries (the Black-Nossob and White-Nossob) at altitudes of approximately 1,800 m and 2,000 m above mean sea level respectively. The Auob and Nossob river beds confluence some 80 km south of Gobabis, then pass the settlements of Leonardville and Aranos before reaching the Namibia-South Africa border at Union's End. From there the combined river bed, forming the international boundary between Botswana and South Africa, meanders through the Kgalagadi Transfrontier Park for over 200 km before reaching the southern boundary of the game reserve at its confluence with the Auob River system. The general groundwater flow direction in the basin is north-west to south-east, following the topographic gradient from altitudes of approximately 1,300 m above mean sea level in the north-west to between 789 m and 1,108 m in the south-east (Joel, 2014). Recharge to the system occurs principally in the higher-elevation north-western reaches. The isotope work conducted under the IAEA RAF/8/029 project established the delineation of the recharge areas through stable and radioactive isotope analysis (Kirchner et al., 2002), though the precise quantification of the recharge rate and sustainable yield remained, in the report's own conclusion, an open question that subsequent work would need to address.</w:t>
      </w:r>
    </w:p>
    <w:p>
      <w:pPr>
        <w:spacing w:line="336" w:lineRule="auto" w:after="160"/>
        <w:jc w:val="both"/>
      </w:pPr>
      <w:r>
        <w:rPr>
          <w:sz w:val="23"/>
        </w:rPr>
        <w:t>The basin's water performs distinctive roles across the three countries that share it. In Namibia it is the principal source of water supply for agricultural development in the south-eastern Kalahari, for the urban centres within the basin, and for isolated rural communities particularly in the north-eastern portion. Extensive groundwater abstraction for irrigation by commercial farmers occurs along the central-western edge of the basin. In Botswana the area is sparsely populated and the basin water is used principally for stock watering, game, and the smaller villages along the south-western fringe of the country. Further development is envisaged but has not yet been operationalised at the scale of the Namibian utilisation. In South Africa the basin underlies the Kgalagadi Transfrontier National Park, where it sustains the game reserve and supports rural domestic use and stock watering on commercial and communal farms. Fresh-water resources within the South African portion are scarce, and the underlying Karoo aquifers have not been developed for utilisation to the extent that the Kalahari Group aquifers have. The transboundary integrated-management framework for the system has been developed through the Groundwater Resources Governance in Transboundary Aquifers (GGRETA) project, convened by UNESCO-IHP and IGRAC and funded by the Swiss Agency for Development and Cooperation, which has initiated the Multi Country Consultative Body (MCCB) between the three states (Joel, 2014; IGRAC, 2024). The Orange-Senqu River Commission (ORASECOM) operates as the standing intergovernmental commission with transboundary-water mandate across the wider catchment within which the STAS lies.</w:t>
      </w:r>
    </w:p>
    <w:p>
      <w:pPr>
        <w:spacing w:line="336" w:lineRule="auto" w:after="160"/>
        <w:jc w:val="both"/>
      </w:pPr>
      <w:r>
        <w:rPr>
          <w:sz w:val="23"/>
        </w:rPr>
        <w:t>Chapter 5 examines the substantive significance of these hydrogeological and hydrological features for the affected communities. The present chapter notes only the empirical configuration: the basin is large, transboundary, layered into three principal aquifers with a critical confining shale, and the sole substantial water resource for the human and ecological systems that depend on it across the three-country region. The non-substitutability of this resource for the host communities, and the integrative consequence of the basin's transboundary geology, are the structural features of the case that the rest of the report's analytical work rests on.</w:t>
      </w:r>
    </w:p>
    <w:p>
      <w:pPr>
        <w:spacing w:before="360" w:after="120"/>
      </w:pPr>
      <w:r>
        <w:rPr>
          <w:b/>
          <w:color w:val="1F3864"/>
          <w:sz w:val="32"/>
        </w:rPr>
        <w:t>2.2  The Headspring Investments project and the in-situ recovery technology</w:t>
      </w:r>
    </w:p>
    <w:p>
      <w:pPr>
        <w:spacing w:line="336" w:lineRule="auto" w:after="160"/>
        <w:jc w:val="both"/>
      </w:pPr>
      <w:r>
        <w:rPr>
          <w:sz w:val="23"/>
        </w:rPr>
        <w:t>The proponent of the project examined in this report is Headspring Investments (Pty) Ltd, a Namibian-incorporated company. The Ministry of Agriculture, Water and Land Reform's 2021 Compliance Monitoring Feedback Report identifies Headspring, in its official Namibian government text, as 'a subsidiary of a Russian state-owned agency, ROSATOM', and records that Headspring has held mineral rights in the form of eight Exclusive Prospecting Licences (EPLs) in southern Namibia since 2011 for uranium and base and rare metals (MAWLR, 2021, executive summary). The corporate group of which Headspring is part (Rosatom-controlled Uranium One Group, with Headspring as its Namibian operating subsidiary) has been documented independently through investigative reporting (Brown and Shipena, 2024), the World Information Service on Energy uranium-project database (WISE Uranium Project, 2026), and the MME licence-contact register (MME, 2025), where Headspring's communication address resolves to a uranium1.com domain. The proponent's documented public-facing positions are treated in Chapter 6 §6.2.1; the corporate-attribution analysis applied to the wider EPL landscape is developed at §6.2.7, §6.5, and §6.7.4. The present section establishes only the proponent's documented corporate identity for the Headspring component itself.</w:t>
      </w:r>
    </w:p>
    <w:p>
      <w:pPr>
        <w:spacing w:line="336" w:lineRule="auto" w:after="160"/>
        <w:jc w:val="both"/>
      </w:pPr>
      <w:r>
        <w:rPr>
          <w:sz w:val="23"/>
        </w:rPr>
        <w:t>Headspring's licence area is located within the Windhoek-Gobabis-Mariental-Keetmanshoop Artesian Water Control Area, extending across the Omaheke, Hardap, and Khomas regions in the south-eastern Kalahari. The principal operations site is near Leonardville, in the Omaheke Region. The proposed mining technology is in-situ recovery (also termed in-situ leach, ISL), a chemical-leaching method in which an oxidising solution is injected into the aquifer through wells, mobilises the uranium from the host rock in dissolved form, and is then pumped back to surface for processing. The technology is, by the proponent's documented position and by the International Atomic Energy Agency's reference description, an established method of uranium extraction in jurisdictions with the appropriate hydrogeological conditions (IAEA, 2016). Its application to the Stampriet aquifer system is, however, the substantive focus of the case's contestation. The proponent frames the technology as 'self-restoring' and characterises the leaching agent as having 'an acidity similar to red wine or lemon juice' (Headspring Investments, 2024a). The convergent scientific opposition (Namibian Chamber of Environment [NCE], 2025; Miller, 2022; IGRAC, 2024; ORASECOM, 2024) characterises the technology's risk profile, in the specific configuration of a transboundary drinking-water aquifer with intact confining shale, as one whose contamination consequences would be irreversible at human timescales.</w:t>
      </w:r>
    </w:p>
    <w:p>
      <w:pPr>
        <w:spacing w:line="336" w:lineRule="auto" w:after="160"/>
        <w:jc w:val="both"/>
      </w:pPr>
      <w:r>
        <w:rPr>
          <w:sz w:val="23"/>
        </w:rPr>
        <w:t>The project's regulatory history at the time of the May 2026 documentation cut-off is, in summary, as follows. MAWLR has, on the documented record, issued four drilling permits to Headspring covering a total of 96 boreholes. The last two of these (Permits No. 11561 and No. 11562) were issued for 19 exploration boreholes and 18 hydrogeological study boreholes respectively. The hydrogeological study boreholes were to inform the design of a proposed test-mining phase, and in-situ leaching had been proposed by the proponent for this test mining on the basis that the discovered uranium ore body is in isolated lenses (MAWLR, 2021, executive summary). In October 2021, MAWLR's Department of Water Affairs conducted a compliance-monitoring site visit to inspect Headspring's adherence to the permit conditions pertaining to borehole construction, casing, sealing, and test pumping, and to inspect the work sites and camp sites for waste management. The visit's findings, recorded in the Feedback Report of 25 October 2021, documented a substantial pattern of non-compliance with the permit conditions. The principal findings, in summary, were that exploration boreholes were being drilled through the Kalahari and Kalkrand formations into the Prince Albert formation (where the Auob aquifer is hosted) without the casing and sealing of the Kalahari aquifer required by the permit conditions; that some exploration boreholes had been left open for long periods after geophysical logging, allowing aquifer mixing and creating pathways for contaminants to enter the subsurface and cause documented injuries to livestock; that the hydrogeological study boreholes had plain steel casing installed only to a depth of approximately 60 m (well above the Rietmond Member shale and below the level of any of the documented Kalahari water-strike zones); that some of the study boreholes had not been cased with PVC, gravel-packed, or cemented, and had been left open without sanitary seals, creating permanent hydraulic connections between the aquifer tiers; and that waste-management practices at three inspected drilling-contractor campsites included burning of solid waste in shallow pits, use of pit latrines, and at one site the presence of sand damp with diesel, practices the Report characterised as posing direct contamination risk to groundwater (MAWLR, 2021).</w:t>
      </w:r>
    </w:p>
    <w:p>
      <w:pPr>
        <w:spacing w:line="336" w:lineRule="auto" w:after="160"/>
        <w:jc w:val="both"/>
      </w:pPr>
      <w:r>
        <w:rPr>
          <w:sz w:val="23"/>
        </w:rPr>
        <w:t>The MAWLR report's recommendations were unambiguous. They included that MAWLR 'take the necessary action as provided for in the drilling permit' against Headspring; that MAWLR cease issuing drilling permits for exploration purposes in groundwater-sensitive areas such as the Stampriet Artesian Aquifer System; that renewal of the Environmental Clearance Certificates be not recommended for any of Headspring's EPLs; that the drilling permits issued to Headspring for exploration and hydrogeological investigation be revoked; and that Headspring be required to apply for a Waste Water and Effluent Disposal Exemption Permit under Sections 21 and 22 of the Water Act 54 of 1956. On 9 November 2021, MAWLR issued the letter to Headspring withdrawing Permits 11561 and 11562 'with immediate effect', citing 'gross violations and non-compliance of permit conditions': the operative regulatory action that the Feedback Report's findings produced (Schlettwein, 2024; The Namibian, 2024a).</w:t>
      </w:r>
    </w:p>
    <w:p>
      <w:pPr>
        <w:spacing w:line="336" w:lineRule="auto" w:after="160"/>
        <w:jc w:val="both"/>
      </w:pPr>
      <w:r>
        <w:rPr>
          <w:sz w:val="23"/>
        </w:rPr>
        <w:t>The project's subsequent procedural development is documented in detail in Chapter 6 §6.2 and §6.3. In brief: Headspring rebutted the 2021 withdrawal through a written response (Headspring Investments, 2024b); Minister Calle Schlettwein restated the ministerial position in his 29 February 2024 statement to the National Assembly, offering the formulation 'we cannot drink uranium' that has come to summarise the public debate (Schlettwein, 2024); the proponent's High Court challenge was withdrawn in 2025 (The Namibian, 2025a); the Cabinet has issued a 'decision based on science' formulation that has not, at the time of writing, been put into effect (The Namibian, 2026a); the Parliamentary Standing Committee on Natural Resources recommended in its 2025 report that uranium exploration in the Omaheke region be allowed to continue 'in the absence of evidence that groundwater has been or will be contaminated' (Parliamentary Standing Committee on Natural Resources, 2025); no Environmental Clearance Certificate has been issued at the time of writing; and no replacement drilling permits have been issued by MAWLR. The case is, on this configuration, in active procedural development.</w:t>
      </w:r>
    </w:p>
    <w:p>
      <w:pPr>
        <w:spacing w:line="336" w:lineRule="auto" w:after="160"/>
        <w:jc w:val="both"/>
      </w:pPr>
      <w:r>
        <w:rPr>
          <w:sz w:val="23"/>
        </w:rPr>
        <w:t>Two operational details, drawn from the Cirrus (2026) Economic Impact Assessment compiled for SAUMA, complete the documentary picture of the project's status at the May 2026 cut-off. First, the Headspring exploration programme has, on the company's own account and as confirmed in the recent Parliamentary Standing Committee material, completed roughly half of its planned exploration work: approximately 592 exploration boreholes and 36 hydrogeological and monitoring boreholes have been drilled, distributed across 39 commercial farms; no drilling has taken place since November 2021, when the permits were withdrawn. The 2019 announcement of a sandstone-hosted uranium discovery in the basin gave the operations site its company-branded name (the Wings Project), under which the project's exploration data has subsequently been reported. Second, in October 2023 Headspring received an Environmental Clearance Certificate from the Office of the Environmental Commissioner for a field laboratory at Farm Tripoli. The field-laboratory ECC is a discrete clearance covering laboratory-scale analytical work, distinct from the wider environmental clearance the test-mining and operational phases would require, which has not been granted. The proposed test-mining design is a single five-spot pattern comprising four injection wells and one recovery well, covering approximately 225 m², with monitoring wells positioned above, below, and around the test area: a deliberately small footprint, on the proponent's stated rationale, to allow the recovery method to be tested under monitored conditions before any decision on full-scale mining (Cirrus Capital, 2026). Any operational phase would additionally require clearance from the Atomic Energy Board and the National Radiation Protection Authority under the Atomic Energy and Radiation Protection Act 5 of 2005 (see §2.4).</w:t>
      </w:r>
    </w:p>
    <w:p>
      <w:pPr>
        <w:spacing w:before="360" w:after="120"/>
      </w:pPr>
      <w:r>
        <w:rPr>
          <w:b/>
          <w:color w:val="1F3864"/>
          <w:sz w:val="32"/>
        </w:rPr>
        <w:t>2.3  The basin-wide EPL programme</w:t>
      </w:r>
    </w:p>
    <w:p>
      <w:pPr>
        <w:spacing w:line="336" w:lineRule="auto" w:after="160"/>
        <w:jc w:val="both"/>
      </w:pPr>
      <w:r>
        <w:rPr>
          <w:sz w:val="23"/>
        </w:rPr>
        <w:t>The Headspring project is the visible front-runner of a wider basin-area uranium-exploration programme that extends across the STAS. The Ministry of Mines and Energy's licence-contact register (MME, 2025), cross-tabulated against the Author EPL register compiled against MME records as at 2 January 2026, identifies 26 active and pending Exclusive Prospecting Licences for uranium and uranium-associated commodities within the Namibian portion of the basin. The geographical extent of the EPLs, rendered in the basin-area mapping at Figure 6.3 (developed in Chapter 6), covers approximately 59% of the Namibian portion of the STAS. The Headspring component itself consists of eight EPLs in the Omaheke, Hardap, and Khomas regions (MAWLR, 2021), of which the EPLs holding the principal operational focus near Leonardville are the most extensively documented in the open record.</w:t>
      </w:r>
    </w:p>
    <w:p>
      <w:pPr>
        <w:spacing w:line="336" w:lineRule="auto" w:after="160"/>
        <w:jc w:val="both"/>
      </w:pPr>
      <w:r>
        <w:rPr>
          <w:sz w:val="23"/>
        </w:rPr>
        <w:t>The principal licence-holders documented across the basin-area EPL portfolio include, in addition to Headspring Investments, the following entities: Green Mining (Pty) Ltd, which holds EPLs across several southern Namibian regions and which operates from 177 Sam Nujoma Drive (Atlas House), Windhoek (Green Mining, 2021, 2025); Uraplant Mining (Pty) Ltd, with documented director Roman Hladunyak (Hladunyak, 2024) and a 2022 Scoping Report on file (Uraplant Mining, 2022); the Sun Investments group of companies, holding multiple EPLs in the southern basin area; Zoya Holdings; Codebreak Investments (Pty) Ltd, holding multiple EPLs across several Namibian regions from a Hosea Kutako Drive Windhoek address; and several smaller licence-holders. The documented record establishes the surface corporate identities of these entities. The question of whether they constitute separately-incorporated holdings of a common beneficial-ownership group, or independent corporate actors operating in the same geographical basin, is one that the open record cannot resolve at the present documentation cut-off. The corporate-attribution discipline applied to this question is developed at Chapter 6 §6.2.7.</w:t>
      </w:r>
    </w:p>
    <w:p>
      <w:pPr>
        <w:spacing w:line="336" w:lineRule="auto" w:after="160"/>
        <w:jc w:val="both"/>
      </w:pPr>
      <w:r>
        <w:rPr>
          <w:sz w:val="23"/>
        </w:rPr>
        <w:t>The MME licence-contact register exposes, through cross-tabulation, three corporate-services nexuses at which multiple separately-incorporated EPL holders share administrative addresses, contact persons, or corporate-secretariat email domains: 19 Bodin Street, in Klein Windhoek; Unit 314 Freedom Plaza, in central Windhoek; and the Arno Henker Haus building, in central Windhoek. The nexuses do not, on the open record, establish common beneficial ownership across the EPL holders that share them (that question lies beyond what the licence-contact register can resolve), but they do establish that the visible fragmentation of the basin-area programme into separately-named EPL holders is, at the administrative level, less fragmented than the licence register's surface presentation suggests. The analytical implications of this finding (its relevance to the social-licence question that the case raises) are developed at Chapter 6 §6.7.4. For the present chapter's purposes, the relevant fact is descriptive: the Namibian portion of the basin is, at the time of writing, the object of a geographically extensive and administratively re-aggregated uranium-exploration programme of which the Headspring component is the principal but not the sole element.</w:t>
      </w:r>
    </w:p>
    <w:p>
      <w:pPr>
        <w:spacing w:before="360" w:after="120"/>
      </w:pPr>
      <w:r>
        <w:rPr>
          <w:b/>
          <w:color w:val="1F3864"/>
          <w:sz w:val="32"/>
        </w:rPr>
        <w:t>2.4  The Namibian regulatory landscape</w:t>
      </w:r>
    </w:p>
    <w:p>
      <w:pPr>
        <w:spacing w:line="336" w:lineRule="auto" w:after="160"/>
        <w:jc w:val="both"/>
      </w:pPr>
      <w:r>
        <w:rPr>
          <w:sz w:val="23"/>
        </w:rPr>
        <w:t>The case is governed by a layered regulatory architecture that extends from the constitutional level to the technical-professional registration of Environmental Assessment Practitioners. This section sets out the architecture's components in turn (the statutes, the ministries, the technical bodies, and the international and intergovernmental instruments) without yet conducting the analytical critique that Chapter 7 develops. Figure 2.3 renders the architecture in schematic form.</w:t>
      </w:r>
    </w:p>
    <w:p>
      <w:pPr>
        <w:jc w:val="center"/>
      </w:pPr>
      <w:r>
        <w:drawing>
          <wp:inline xmlns:a="http://schemas.openxmlformats.org/drawingml/2006/main" xmlns:pic="http://schemas.openxmlformats.org/drawingml/2006/picture">
            <wp:extent cx="5669280" cy="3483487"/>
            <wp:docPr id="3" name="Picture 3"/>
            <wp:cNvGraphicFramePr>
              <a:graphicFrameLocks noChangeAspect="1"/>
            </wp:cNvGraphicFramePr>
            <a:graphic>
              <a:graphicData uri="http://schemas.openxmlformats.org/drawingml/2006/picture">
                <pic:pic>
                  <pic:nvPicPr>
                    <pic:cNvPr id="0" name="Figure_2_3_Regulatory_Architecture.png"/>
                    <pic:cNvPicPr/>
                  </pic:nvPicPr>
                  <pic:blipFill>
                    <a:blip r:embed="rId11"/>
                    <a:stretch>
                      <a:fillRect/>
                    </a:stretch>
                  </pic:blipFill>
                  <pic:spPr>
                    <a:xfrm>
                      <a:off x="0" y="0"/>
                      <a:ext cx="5669280" cy="3483487"/>
                    </a:xfrm>
                    <a:prstGeom prst="rect"/>
                  </pic:spPr>
                </pic:pic>
              </a:graphicData>
            </a:graphic>
          </wp:inline>
        </w:drawing>
      </w:r>
    </w:p>
    <w:p>
      <w:pPr>
        <w:spacing w:after="240"/>
        <w:jc w:val="center"/>
      </w:pPr>
      <w:r>
        <w:rPr>
          <w:i/>
          <w:color w:val="595959"/>
          <w:sz w:val="21"/>
        </w:rPr>
        <w:t>Figure 2.3. The Namibian regulatory architecture for the STAS case. The diagram shows five tiers: the constitutional and executive level (Cabinet under Constitution Article 144 and the Public Service Act of 1995); parliamentary oversight through the Standing Committee on Natural Resources; the executive ministries (MME, MEFT, MAWLR) and the statutes through which they act; the technical regulatory bodies and professional architecture (the Office of the Environmental Commissioner, EAPAN, the Atomic Energy Board, and the civil-society EIA architecture comprising the NCE and NEWS); and the international and intergovernmental layer (SADC, ORASECOM, UNESCO-IHP/IGRAC, ILC, IAEA). Edges indicate principal relationships of statutory authority, regulatory oversight, and procedural engagement.</w:t>
      </w:r>
    </w:p>
    <w:p>
      <w:pPr>
        <w:spacing w:line="336" w:lineRule="auto" w:after="160"/>
        <w:jc w:val="both"/>
      </w:pPr>
      <w:r>
        <w:rPr>
          <w:sz w:val="23"/>
        </w:rPr>
        <w:t>The principal substantive statute governing mineral rights is the Minerals (Prospecting and Mining) Act 33 of 1992 (Republic of Namibia, 1992). The Act vests the Minister of Mines and Energy with the authority to grant, renew, suspend, transfer, and revoke mineral rights, including Exclusive Prospecting Licences (EPLs), Mining Licences, and the subordinate categories of reconnaissance and non-exclusive prospecting licences. EPLs are issued for exclusive rights to prospect for a specified category of mineral within a designated geographical area, for an initial term of three years that may be renewed for further two-year periods up to a statutory maximum, subject to the holder's compliance with the conditions of the licence and the Act. The Act records the licence-holder's Namibian corporate identity but does not, at the present statutory level, require disclosure of ultimate beneficial ownership at the international transparency standards now codified in the Extractive Industries Transparency Initiative Standard 2023 (EITI, 2023). Licence transfer between corporate entities is provided for, subject to the Minister's approval, but the procedural architecture for the Minister's approval is not, on the documented record, substantially encumbered by community-consultation or transboundary-impact requirements at the licence-transfer stage.</w:t>
      </w:r>
    </w:p>
    <w:p>
      <w:pPr>
        <w:spacing w:line="336" w:lineRule="auto" w:after="160"/>
        <w:jc w:val="both"/>
      </w:pPr>
      <w:r>
        <w:rPr>
          <w:sz w:val="23"/>
        </w:rPr>
        <w:t>The principal substantive statute governing environmental impact is the Environmental Management Act 7 of 2007 (Republic of Namibia, 2007), operated through the Environmental Impact Assessment Regulations of 2012 (Republic of Namibia, 2012). The EMA establishes the Office of the Environmental Commissioner (OEC) within the Ministry of Environment, Forestry and Tourism (MEFT), and gives the Commissioner the authority to issue, refuse, renew, suspend, or withdraw Environmental Clearance Certificates (ECCs) for activities listed under the Regulations as requiring EIA. Mining and prospecting activities of the type Headspring proposes are listed activities and therefore require an ECC. The procedural sequence the EIA Regulations specify, in operative form, includes the appointment of an Environmental Assessment Practitioner (EAP) by the proponent to lead the EIA process; the production of a Background Information Document (BID) for distribution to Interested and Affected Parties (I&amp;APs); a public-consultation phase including notification through national-newspaper advertisements and direct engagement with identified I&amp;APs; the preparation of a Scoping Report and an Environmental Impact Assessment Report; the production of an Environmental Management Plan (EMP) specifying the project's operational obligations during construction, operation, and decommissioning phases; submission of the EIA package to the OEC for review; and the OEC's decision on whether to issue, refuse, or attach conditions to the ECC. ECCs are valid for three years at present and require renewal, with renewal contingent on the proponent's documented compliance with the EMP through Environmental Performance Reports and any updates to the approved EMP that operational changes require (EAPAN, NCE and NEWS, 2026). The architecture's design is consistent with international EIA best practice on most dimensions, but the EIA Regulations of 2012 contain no specific provision for transboundary-impact assessment, a feature of the design that becomes substantively important where the proposed activity sits on a transboundary aquifer of the kind §2.1 describes. The question of the architecture's operational performance is examined at Chapter 7 §7.3.4, and the wider question of whether the present architecture can host a defensible licence-producing process for cases of the present structural kind is taken up at §§7.2 and 7.3.</w:t>
      </w:r>
    </w:p>
    <w:p>
      <w:pPr>
        <w:spacing w:line="336" w:lineRule="auto" w:after="160"/>
        <w:jc w:val="both"/>
      </w:pPr>
      <w:r>
        <w:rPr>
          <w:sz w:val="23"/>
        </w:rPr>
        <w:t>The principal substantive statute governing water resources is the Water Resources Management Act 11 of 2013 (Republic of Namibia, 2013), which repealed and replaced the colonial-era Water Act 54 of 1956 (under which the operative Subterranean Water Controlled Area declaration for the STAS was originally made). The WRMA vests the Minister of Agriculture, Water and Land Reform with regulatory authority over water resources, including the issuance of drilling permits, the declaration of groundwater-control areas, and the regulation of water abstraction. The Windhoek-Gobabis-Mariental-Keetmanshoop Artesian Water Control Area, within which the STAS extends, is the operative groundwater-control area for the present case. Drilling permits for boreholes within the area are issued by MAWLR's Department of Water Affairs with specific construction and sealing conditions designed to maintain the hydraulic separation of the aquifer tiers (MAWLR, 2021). The Atomic Energy and Radiation Protection Act 5 of 2005 (Republic of Namibia, 2005) establishes the Atomic Energy Board and the National Radiation Protection Authority, vesting these bodies with regulatory authority over radioactive materials and the radiation-protection conditions any uranium operation would have to meet. The Act operates in parallel with the Minerals Act and the EMA, with the Atomic Energy Board's clearances additional to the MME's licensing and the OEC's ECC.</w:t>
      </w:r>
    </w:p>
    <w:p>
      <w:pPr>
        <w:spacing w:line="336" w:lineRule="auto" w:after="160"/>
        <w:jc w:val="both"/>
      </w:pPr>
      <w:r>
        <w:rPr>
          <w:sz w:val="23"/>
        </w:rPr>
        <w:t>Parliamentary oversight of the executive's regulatory action on the case is exercised principally through the Parliamentary Standing Committee on Natural Resources, whose 2025 report (Parliamentary Standing Committee on Natural Resources, 2025) constitutes the documented parliamentary position at the time of writing. The Committee's procedural standing is one of oversight, scrutiny, and recommendation. It does not have independent regulatory authority over the executive's decisions, but its recommendations carry political weight in the configuration of pressures the case generates. The constitutional and executive level above this (the Cabinet, operating under Article 144 of the Namibian Constitution which incorporates Namibia's international agreements into domestic law (Republic of Namibia, 1990), and under the Public Service Act 13 of 1995 (Republic of Namibia, 1995) which provides the administrative scaffolding for inter-ministerial co-ordination) operates as the venue at which inter-ministerial disagreement on a matter of this character would, in principle, be resolved.</w:t>
      </w:r>
    </w:p>
    <w:p>
      <w:pPr>
        <w:spacing w:line="336" w:lineRule="auto" w:after="160"/>
        <w:jc w:val="both"/>
      </w:pPr>
      <w:r>
        <w:rPr>
          <w:sz w:val="23"/>
        </w:rPr>
        <w:t>A point of structural importance needs to be registered before the technical-professional architecture is described. There is, at present, no Namibian legislation that regulates the practice of Environmental Assessment Practitioners. The Environmental Management Act of 2007 requires that listed activities be subjected to EIA and that the EIA be conducted by an Environmental Assessment Practitioner, but the Act and its 2012 Regulations do not set out professional standards for EAPs, do not require registration with any statutorily recognised professional body, do not establish disciplinary procedures for practitioner misconduct, and do not specify minimum qualifications, experience, or accreditation. EAP practice is, in this respect, an unregulated profession. The professional architecture that exists has been built by the sector itself, voluntarily, in the absence of statutory provision.</w:t>
      </w:r>
    </w:p>
    <w:p>
      <w:pPr>
        <w:spacing w:line="336" w:lineRule="auto" w:after="160"/>
        <w:jc w:val="both"/>
      </w:pPr>
      <w:r>
        <w:rPr>
          <w:sz w:val="23"/>
        </w:rPr>
        <w:t>The technical-professional architecture for EIA practice is carried by the Environmental Assessment Professionals Association of Namibia (EAPAN), a voluntary forum and association under Namibian Common Law established in 2012 for the advancement of EIA practice through registration of practitioners, a Code of Conduct emphasising professionalism, transparency, honesty, and adherence to legal and ethical principles, and capacity-building through an annual mini-conference, training, and the publication of materials for practitioners and the public (EAPAN, NCE and NEWS, 2026). EAPAN's membership comprises both experienced and emerging EAPs and environmental managers. Because EAPAN has no statutory mandate, registration with it is voluntary, and the operative compliance rate among EIA practitioners conducting registered EIAs (28% of practitioners across 1,189 EIAs in the 15-month period to July 2024, on the Pallett and Iipinge documented finding) is examined at Chapter 7 §7.3.4. The civil-society EIA architecture is complemented by the Namibian Chamber of Environment (NCE) and the Namibian Environment and Wildlife Society (NEWS), which operate the EIA Tracker (an online platform that, since May 2023, logs all EIAs registered with the OEC and makes them publicly accessible) and which have, jointly with EAPAN, established the EIA Insights newsletter as a forum for the sector's professional discourse (EAPAN, NCE and NEWS, 2026).</w:t>
      </w:r>
    </w:p>
    <w:p>
      <w:pPr>
        <w:spacing w:line="336" w:lineRule="auto" w:after="160"/>
        <w:jc w:val="both"/>
      </w:pPr>
      <w:r>
        <w:rPr>
          <w:sz w:val="23"/>
        </w:rPr>
        <w:t>The international and intergovernmental layer of the architecture comprises four principal instruments and bodies. The SADC Revised Protocol on Shared Watercourses (SADC, 2000), to which Namibia is a party and which is incorporated into Namibian law through Article 144 of the Constitution, imposes prior-notification and consultation obligations on a watercourse state proposing measures that may have a significant adverse effect on other watercourse states. The International Law Commission's Draft Articles on the Law of Transboundary Aquifers (ILC, 2008) further specify the obligations of states sharing a transboundary aquifer, including the obligations to co-operate in the aquifer's protection and to provide prior notification of planned activities that may affect it. ORASECOM, the Orange-Senqu River Commission established under the 2000 Orange-Senqu Agreement between Botswana, Lesotho, Namibia, and South Africa, operates as the standing intergovernmental commission with transboundary-water mandate across the basin's catchment; ORASECOM issued a 2024 position statement on the Headspring matter (ORASECOM, 2024). UNESCO-IHP and IGRAC, through the GGRETA project, have convened the Multi Country Consultative Body (MCCB) for the integrated management of the STAS across the three states (Joel, 2014; IGRAC, 2024; UNESCO, 2024). The International Atomic Energy Agency (IAEA) provides the international technical reference architecture for uranium operations and has published the Nuclear Energy Series guidance on in-situ leach uranium mining (IAEA, 2016).</w:t>
      </w:r>
    </w:p>
    <w:p>
      <w:pPr>
        <w:spacing w:before="360" w:after="120"/>
      </w:pPr>
      <w:r>
        <w:rPr>
          <w:b/>
          <w:color w:val="1F3864"/>
          <w:sz w:val="32"/>
        </w:rPr>
        <w:t>2.5  The host communities and the wider STAS-area population and economy</w:t>
      </w:r>
    </w:p>
    <w:p>
      <w:pPr>
        <w:spacing w:line="336" w:lineRule="auto" w:after="160"/>
        <w:jc w:val="both"/>
      </w:pPr>
      <w:r>
        <w:rPr>
          <w:sz w:val="23"/>
        </w:rPr>
        <w:t>The case is felt most acutely in two host communities, Aminuis and Leonardville, both in the Omaheke Region of Namibia, but the wider basin population and economic structure within which those communities sit extends across four Namibian constituencies and several smaller settlements distributed across the south-eastern Kalahari. Cirrus Capital's (2026) Economic Impact Assessment of In-Situ Uranium Mining in the Stampriet Aquifer Region, prepared for SAUMA, identifies the basin-area Namibian population at approximately 40,000 to 50,000 residents, dispersed across small towns, villages, and farming communities, with settlement patterns closely tied to access to groundwater and agricultural land. The Cirrus assessment uses four constituencies as the working proxy for the STAS area: Aminuis (Omaheke Region) and Aranos (Hardap Region), each with a majority of constituency area within the basin; Mariental Rural (Hardap Region; also majority within the basin); and Kalahari (//Karas Region; whose connection to the basin is limited principally to the southernmost Ben-Hur area, included with caution). These together account for 49,356 persons on the 2023 Census (Cirrus Capital, 2026; Namibia Statistics Agency [NSA], 2024). The present section establishes the demographic, settlement, and economic anchoring of the basin area at this level. The analytical work that connects the anchoring to the social-licence question is reserved for Chapter 5.</w:t>
      </w:r>
    </w:p>
    <w:p>
      <w:pPr>
        <w:spacing w:before="280" w:after="120"/>
      </w:pPr>
      <w:r>
        <w:rPr>
          <w:b/>
          <w:color w:val="1F3864"/>
          <w:sz w:val="27"/>
        </w:rPr>
        <w:t>2.5.1  The Omaheke regional profile</w:t>
      </w:r>
    </w:p>
    <w:p>
      <w:pPr>
        <w:spacing w:line="336" w:lineRule="auto" w:after="160"/>
        <w:jc w:val="both"/>
      </w:pPr>
      <w:r>
        <w:rPr>
          <w:sz w:val="23"/>
        </w:rPr>
        <w:t>Three of the basin's host and service centres (Aminuis, Leonardville, and the wider Aminuis-constituency hinterland) lie in the Omaheke Region of Namibia. The Region itself, on the documented record of the Legal Assistance Centre's profile of the area (Dirkx and Thiem, 2014, drawing on the National Planning Commission and Namibia Statistics Agency baselines), covers approximately 84,981 km² in the east of the country, bordered by Otjozondjupa Region to the north and north-east, Khomas Region to the west and south-west, Hardap Region to the south, and Botswana to the east. At the time of the 2011 Census, the Region comprised seven constituencies (Aminuis, Gobabis, Kalahari, Otjinene, Otjombinde, Steinhausen, and Epukiro) with Gobabis as the regional administrative centre. The 2011 baseline recorded the regional population at 71,233 persons (3.4% of the national total), with a population density of approximately 0.8 persons per km² against a national average of 2.6: the lowest density of any Namibian region. By the 2023 Census, the regional population had grown to approximately 102,881 (NSA, 2024). The inter-census increase of more than 31,000 persons over twelve years places Omaheke among Namibia's faster-growing rural regions in absolute terms, even as it remains low-density relative to the country as a whole.</w:t>
      </w:r>
    </w:p>
    <w:p>
      <w:pPr>
        <w:spacing w:line="336" w:lineRule="auto" w:after="160"/>
        <w:jc w:val="both"/>
      </w:pPr>
      <w:r>
        <w:rPr>
          <w:sz w:val="23"/>
        </w:rPr>
        <w:t>Mean annual precipitation across the Region varies from approximately 250 mm in the south (the Aminuis Constituency) to 400 mm in the north, with the areas north of Gobabis recording 350 to 400 mm per annum. The dominant vegetation zones are camelthorn savannas and mixed shrublands characteristic of the central and southern Kalahari Basin, with isolated forest and woodland savannas. There are no perennial surface-water sources in the Region. The only notable drainage channels are the Black and White Nossob Rivers and the shallow omiramba (ancient river beds) of Eiseb, Epukiro, and Otjozondjou. The porous Kalahari sands cause almost all rainfall to infiltrate immediately, so even the Nossob Rivers flow only briefly after exceptionally good rains. The Tilda Viljoen and Otjivero Dams are the Region's only notable surface-water reservoirs, supplying Gobabis from impounded ephemeral flow. Unreliable dam capacities have, on the documented record, sustained Omaheke's continued reliance on groundwater and boreholes (the STAS aquifer system among them) as the operative water source across the Region (Dirkx and Thiem, 2014).</w:t>
      </w:r>
    </w:p>
    <w:p>
      <w:pPr>
        <w:spacing w:line="336" w:lineRule="auto" w:after="160"/>
        <w:jc w:val="both"/>
      </w:pPr>
      <w:r>
        <w:rPr>
          <w:sz w:val="23"/>
        </w:rPr>
        <w:t>The land-tenure structure of Omaheke is dominated by commercial freehold farming. Approximately half of the regional land area (3,543,044 ha) is privately owned under the freehold tenure system. The largest parts of the western, central, and south-western areas are occupied by freehold farms accounting for around 900 households. In 2001, approximately 800 commercial farms were registered in the Region with an average size of 7,000 hectares; most are owned by Afrikaans- and German-speaking farmers. The remainder of the regional land is communal, held by the central government through communal lands, resettlement farms, and experimental agricultural farms, with smaller percentages controlled by the local authorities of Gobabis, Leonardville, Witvlei, and Otjinene (Dirkx and Thiem, 2014). The Region's inhabitants refer to it, in the LAC documentary record, as 'cattle country, it has some of the best grazing areas in Namibia', and commercial farms employ approximately 60% of the Omaheke workforce, a figure that places commercial farming at the centre of the regional labour-market architecture and that establishes the structural-dependence pattern the 2023 PHC and the Cirrus assessment subsequently confirmed. In recent years, commercial farmers have increasingly diversified into game farming, hunting, and tourism, complementing income derived from cattle farming with the wider eco-tourism and lodge sectors §2.5.4 describes.</w:t>
      </w:r>
    </w:p>
    <w:p>
      <w:pPr>
        <w:spacing w:line="336" w:lineRule="auto" w:after="160"/>
        <w:jc w:val="both"/>
      </w:pPr>
      <w:r>
        <w:rPr>
          <w:sz w:val="23"/>
        </w:rPr>
        <w:t>The ethno-linguistic composition of Omaheke is dominated by the Herero (39.0%) and Nama/Damara (27.0%) language groups, with Afrikaans-speakers accounting for 12.0% of the regional population and the San constituting the fourth-largest language group at 7.0% (NSA, 2013, as cited in Dirkx and Thiem, 2014). The Region's pre-independence administrative history is integral to the contemporary settlement pattern: the former Gobabis District and the former homeland and reserve areas of Aminuis, Tswanaland, and part of Hereroland East were combined to form the Region after independence. Aminuis and Epukiro were originally established as 'native reserves' under the Union government in the inter-war period, principally for the Herero and Mbanderu people. The Eiseb and Rietfontein areas were incorporated later, having previously been Ju|'hoansi San territory. The Odendaal Commission's recommendations in the 1960s, and the Apartheid-era homeland architecture that followed, further shaped the contemporary land-tenure and settlement patterns that the present case operates within (Dirkx and Thiem, 2014). The historical detail is operatively relevant: the particular configuration of communal and resettlement land, freehold commercial farms, and the dispersed pastoralist and town-based populations §2.5.2 through §2.5.5 describe is the product of this long administrative history.</w:t>
      </w:r>
    </w:p>
    <w:p>
      <w:pPr>
        <w:spacing w:before="280" w:after="120"/>
      </w:pPr>
      <w:r>
        <w:rPr>
          <w:b/>
          <w:color w:val="1F3864"/>
          <w:sz w:val="27"/>
        </w:rPr>
        <w:t>2.5.2  The host communities: Aminuis and Leonardville</w:t>
      </w:r>
    </w:p>
    <w:p>
      <w:pPr>
        <w:spacing w:line="336" w:lineRule="auto" w:after="160"/>
        <w:jc w:val="both"/>
      </w:pPr>
      <w:r>
        <w:rPr>
          <w:sz w:val="23"/>
        </w:rPr>
        <w:t>Against the regional baseline §2.5.1 has established, the two host communities are configured as follows. An administrative note is in order first. Aminuis is the name of both a constituency and a settlement within that constituency. The village of Leonardville falls within the Aminuis electoral constituency, not within a separate Leonardville constituency: at the electoral and statistical-reporting level, much of what the report treats as the Leonardville community is captured under the Aminuis constituency aggregation. The Aminuis constituency, in this combined sense, comprises a predominantly Otjiherero-speaking and predominantly pastoralist population on communal and resettlement farms, with the settlement centres at Aminuis itself, at Leonardville, and at smaller service centres distributed across the constituency. The Aminuis constituency population on the 2023 Census stands at 13,801 (6,236 female; 7,565 male), with an average household size of approximately 3.3 persons (Cirrus Capital, 2026, drawing on NSA, 2024). Cattle and small-stock farming on natural rangeland is the principal livelihood. The water dependence is configured around stock watering from boreholes drawing on the STAS aquifers, with limited alternative livelihood options on the documented record of the fieldwork (KII-Council-LV; FG-Aminuis-1 through FG-Aminuis-3; Chapter 5 §5.4 and §5.5).</w:t>
      </w:r>
    </w:p>
    <w:p>
      <w:pPr>
        <w:spacing w:line="336" w:lineRule="auto" w:after="160"/>
        <w:jc w:val="both"/>
      </w:pPr>
      <w:r>
        <w:rPr>
          <w:sz w:val="23"/>
        </w:rPr>
        <w:t>Leonardville itself (the town immediately east of the proposed Headspring operations site) is the basin-area town with the fastest documented population growth: from 1,086 residents on the 2011 Census to an estimated 2,099 in 2023, an annual growth rate of approximately 5.5% (Cirrus Capital, 2026). The growth reflects both the town's role as a service centre for the surrounding farming area and the documented in-migration of job-seekers drawn by the prospect of project-related employment. The town's population profile is more mixed than the broader constituency's: small commercial farmers, pastoralists, town-based residents engaged in the local services economy, and a documented job-seeker population that includes both long-term Leonardville residents and recent in-migrants from elsewhere in Omaheke and beyond (FG-Leonardville-1 through FG-Leonardville-3; KII-Council-LV).</w:t>
      </w:r>
    </w:p>
    <w:p>
      <w:pPr>
        <w:spacing w:before="280" w:after="120"/>
      </w:pPr>
      <w:r>
        <w:rPr>
          <w:b/>
          <w:color w:val="1F3864"/>
          <w:sz w:val="27"/>
        </w:rPr>
        <w:t>2.5.3  The wider STAS-area towns: Aranos, Stampriet, Gochas, and Koes</w:t>
      </w:r>
    </w:p>
    <w:p>
      <w:pPr>
        <w:spacing w:line="336" w:lineRule="auto" w:after="160"/>
        <w:jc w:val="both"/>
      </w:pPr>
      <w:r>
        <w:rPr>
          <w:sz w:val="23"/>
        </w:rPr>
        <w:t>Beyond the host communities, four other settlements function as the principal towns of the basin's wider service economy. The Cirrus (2026) assessment documents the 2011 and 2023 Census populations and growth rates of all five recognised basin towns as follows. Aranos, in the Hardap Region, is the largest town at 5,493 residents (2023), grown from 3,683 (2011) at a modest 0.9% annual rate. Aranos is the basin's principal livestock and meat-processing hub, accommodating the largest share of the four-constituency formal-establishment base and carrying the basin's only documented meat-processing operation (102 of 115 meat-processing employees recorded for the four constituencies in the Census of Business Establishments). Stampriet, in the Hardap Region (the settlement after which both the artesian basin and the transboundary aquifer system are named) has grown from 1,890 to 3,388 residents at an annual rate of 4.9%, making it the second-fastest-growing basin town after Leonardville. Gochas, also in Hardap, has grown more slowly from 1,347 to 1,868 residents (2.7% annually). Koes, in the //Karas Region, has grown from 1,530 to 2,264 residents (3.3% annually). The five towns, together with the smaller settlements at Onderombapa, Aminuis, and the dispersed farming homesteads, account for the settled population on which the basin's economic and administrative architecture rests (Cirrus Capital, 2026).</w:t>
      </w:r>
    </w:p>
    <w:p>
      <w:pPr>
        <w:spacing w:before="280" w:after="120"/>
      </w:pPr>
      <w:r>
        <w:rPr>
          <w:b/>
          <w:color w:val="1F3864"/>
          <w:sz w:val="27"/>
        </w:rPr>
        <w:t>2.5.4  The basin economy: commercial farming, services, and tourism</w:t>
      </w:r>
    </w:p>
    <w:p>
      <w:pPr>
        <w:spacing w:line="336" w:lineRule="auto" w:after="160"/>
        <w:jc w:val="both"/>
      </w:pPr>
      <w:r>
        <w:rPr>
          <w:sz w:val="23"/>
        </w:rPr>
        <w:t>The basin's economy is, on the documented evidence, overwhelmingly agrarian. The Cirrus (2026) assessment, drawing on the 2023 PHC, the Census of Business Establishments (2019 to 2021), and the Namibia Census of Agriculture 2013/2014 (NSA, 2015), establishes that approximately 20 million cubic metres of groundwater are abstracted annually from the STAS, with the majority used for agricultural purposes (livestock watering and small-scale crop irrigation). Land use is dominated by commercial livestock farming, with smaller-scale crop production where irrigation supports it. The basin's agricultural production contributes to domestic food supply, to export earnings through the livestock-and-meat value chain, and to the livelihoods of rural households across the four constituencies.</w:t>
      </w:r>
    </w:p>
    <w:p>
      <w:pPr>
        <w:spacing w:line="336" w:lineRule="auto" w:after="160"/>
        <w:jc w:val="both"/>
      </w:pPr>
      <w:r>
        <w:rPr>
          <w:sz w:val="23"/>
        </w:rPr>
        <w:t>The income-source profile of the basin-area population reflects this agrarian structure. Across the four constituencies, approximately 54% of households report wages or salaries as their main source of income (above the national rate of 47%), reflecting strong dependence on the formal-employment chains that the regional services and farming economy supports. Commercial farming accounts for 5% of households' primary income (well above the national 1%), indicating the greater economic importance of commercial farming activity within the STAS area; subsistence farming accounts for 4% (below the national 9%), suggesting that the basin's agricultural economy is configured around commercial rather than subsistence production. Approximately 14% of households rely principally on the old age pension, broadly in line with the national share and consistent with the area's slightly elevated elderly-dependency ratio (Cirrus Capital, 2026).</w:t>
      </w:r>
    </w:p>
    <w:p>
      <w:pPr>
        <w:spacing w:line="336" w:lineRule="auto" w:after="160"/>
        <w:jc w:val="both"/>
      </w:pPr>
      <w:r>
        <w:rPr>
          <w:sz w:val="23"/>
        </w:rPr>
        <w:t>Housing conditions across the four constituencies show considerable vulnerability. Of the 13,924 households recorded in the four constituencies on the 2023 PHC, formal dwellings account for 41% of the total; but informal dwellings (shacks and backyard shacks together) account for 44%, materially higher than the national shack-prevalence rate of 28% and indicating substantial housing vulnerability across the basin. The pattern is most pronounced in Kalahari, where informal dwellings account for 52% of households. In Aminuis specifically, 14% of households reside in traditional dwellings, indicating that parts of the constituency retain a rural and customary settlement structure (Cirrus Capital, 2026).</w:t>
      </w:r>
    </w:p>
    <w:p>
      <w:pPr>
        <w:spacing w:line="336" w:lineRule="auto" w:after="160"/>
        <w:jc w:val="both"/>
      </w:pPr>
      <w:r>
        <w:rPr>
          <w:sz w:val="23"/>
        </w:rPr>
        <w:t>The basin's formal-establishment economy is dominated by trade and local services. The Census of Business Establishments (2019 to 2021) recorded 550 establishments across the four constituencies, employing 3,215 persons in total. The largest category is wholesale and retail trade (252 establishments), followed by accommodation and food service activities (96), other service activities (47), education (38), public administration and defence (27), and human health and social work (17). Only 20 establishments are classified under agriculture, forestry, and fishing, a low figure that, as Cirrus notes, reflects the Census's exclusion of communal farming and known survey-response challenges in the southern farming areas, rather than the actual scale of agricultural production. No mining or quarrying establishments are recorded for the four constituencies. The secondary sector is characteristically small: 161 employees, of whom 115 are in meat processing concentrated principally in Aranos. The tertiary sector is, in formal-establishment terms, the largest, with employment concentrated in education, health and social work, public administration, accommodation and food service, and retail trade. The pattern is consistent with the basin's status as a sparsely populated, service-dependent rural economy in which the towns function as service nodes for the surrounding farming hinterland (Cirrus Capital, 2026).</w:t>
      </w:r>
    </w:p>
    <w:p>
      <w:pPr>
        <w:spacing w:line="336" w:lineRule="auto" w:after="160"/>
        <w:jc w:val="both"/>
      </w:pPr>
      <w:r>
        <w:rPr>
          <w:sz w:val="23"/>
        </w:rPr>
        <w:t>Tourism in the basin is limited in scale but distinctive in character. The Cirrus assessment estimates approximately ten lodges and guest facilities across the basin, typically with 10 to 15 rooms each, oriented to small-scale eco-tourism, hunting, business travel, and accommodation linked to farming activity. The main attractions are the wildlife biodiversity, open landscapes, and undisturbed wilderness character that make the south-eastern Kalahari distinct from the more heavily developed coastal and central tourism destinations elsewhere in Namibia. The wider region also has tourism linkage to the Kgalagadi Transfrontier Park, which receives on the order of 40,000 visitors annually, although most of the park's tourism infrastructure is located on the South African side, and the park's remote position constrains visitor flow. In economic-national-accounts terms, tourism contributes less than NAD 50 million in GDP output annually from the basin and approximately 1.4% of the national Accommodation and Food Services GDP component. The sector's local significance is nonetheless substantial: it supports a small but distinctive set of accommodation, guiding, and related-services establishments, and the tourism product itself is structurally tied to the environmental quality of the basin, particularly to the safety and reliability of groundwater supplies that lodge operations depend on (Cirrus Capital, 2026).</w:t>
      </w:r>
    </w:p>
    <w:p>
      <w:pPr>
        <w:spacing w:before="280" w:after="120"/>
      </w:pPr>
      <w:r>
        <w:rPr>
          <w:b/>
          <w:color w:val="1F3864"/>
          <w:sz w:val="27"/>
        </w:rPr>
        <w:t>2.5.5  Labour-force and unemployment</w:t>
      </w:r>
    </w:p>
    <w:p>
      <w:pPr>
        <w:spacing w:line="336" w:lineRule="auto" w:after="160"/>
        <w:jc w:val="both"/>
      </w:pPr>
      <w:r>
        <w:rPr>
          <w:sz w:val="23"/>
        </w:rPr>
        <w:t>Unemployment across the basin's four-constituency proxy is high but uneven. Mariental Rural records the highest unemployment rate at 33.2%, with a labour-force participation rate of 59.2%; Aminuis records 31.0% unemployment with 47.3% participation; Aranos records 26.8% unemployment with 48.0% participation; Kalahari records the lowest unemployment at 15.6% but with a relatively low participation rate of 46.8%. The combined unemployment rate across the four constituencies is approximately 26.7% with a labour-force participation rate of 50.3% (Cirrus Capital, 2026; NSA, 2024). At the wider Omaheke regional level, the 2023 PHC Labour Force Report records the region as having a working-age population of approximately 64,355 (3.6% of the national working-age population) with a labour-force participation rate of 48.8% and a regional unemployment rate of 35.5%. Agriculture dominates the regional employment structure: 39.0% of those employed in Omaheke are in agricultural activity, the highest agricultural-employment share of any region in Namibia, with the share rising to 52.5% among employed males. The figures document a regional economy structurally dependent on agricultural production whose operational foundation is the STAS aquifer system (NSA, 2024; Cirrus Capital, 2026). The analytical implications for the social-licence question are developed at Chapter 5 §5.4.</w:t>
      </w:r>
    </w:p>
    <w:p>
      <w:pPr>
        <w:spacing w:before="280" w:after="120"/>
      </w:pPr>
      <w:r>
        <w:rPr>
          <w:b/>
          <w:color w:val="1F3864"/>
          <w:sz w:val="27"/>
        </w:rPr>
        <w:t>2.5.6  The wider transboundary basin population</w:t>
      </w:r>
    </w:p>
    <w:p>
      <w:pPr>
        <w:spacing w:line="336" w:lineRule="auto" w:after="160"/>
        <w:jc w:val="both"/>
      </w:pPr>
      <w:r>
        <w:rPr>
          <w:sz w:val="23"/>
        </w:rPr>
        <w:t>Beyond the Namibian portion of the basin, the wider basin population in southern Botswana lies principally within the Kgalagadi District, a sparsely populated region whose livelihoods centre on pastoralist farming on communal range, small-stock production, and limited service-sector activity in the district's small towns. Population densities are low and the basin's water supports stock watering, game-area provision, and small-village domestic use (Joel, 2014). In the Northern Cape Province of South Africa, the basin underlies portions of the Kgalagadi Transfrontier National Park and surrounding farm-area territory, where the populations are again sparse and the basin's water supports rural domestic use, stock watering on commercial and communal farms, and the National Park's ecological systems. The downstream-state communities are documented in the open record at the level of regional and national statistical aggregation. The present study has not conducted fieldwork in these communities, and the analytical limit this introduces is named explicitly at Chapter 7 §7.6.3.</w:t>
      </w:r>
    </w:p>
    <w:p>
      <w:pPr>
        <w:spacing w:line="336" w:lineRule="auto" w:after="160"/>
        <w:jc w:val="both"/>
      </w:pPr>
      <w:r>
        <w:rPr>
          <w:sz w:val="23"/>
        </w:rPr>
        <w:t>One further constituency within Omaheke warrants explicit acknowledgement before the analytical chapters proceed. The San people, documented in Dirkx and Thiem (2014) as the fourth-largest language group in Omaheke at approximately 7% of the regional population, distributed in three main language groups (Ju|'hoansi in the north and central; Naro in the east; !Xoon in the south, together with a smaller 'N|oha population in the southern 'Corridor area') and represented through two traditional authorities recognised by the Namibian Government in 2009, are a distinct Omaheke population whose engagement with the case the present study has not been able to document through dedicated fieldwork. The San are documented in the LAC report and elsewhere in the regional record as among the most vulnerable Omaheke populations, employed historically as farmworkers on commercial farms with documented declines in employment rates in the past decade, and concentrated in the resettlement projects of Skoonheid, Blouberg, Goreseb, the Corridor communal areas, and the Kanaan informal settlement in Epako (Gobabis). The absence of San-specific fieldwork in the present study is an analytical limit named explicitly at Chapter 7 §7.6.3 (alongside the absence of downstream-state fieldwork) and represents an opening for further work that any follow-on study should address.</w:t>
      </w:r>
    </w:p>
    <w:p>
      <w:pPr>
        <w:spacing w:line="336" w:lineRule="auto" w:after="160"/>
        <w:jc w:val="both"/>
      </w:pPr>
      <w:r>
        <w:rPr>
          <w:sz w:val="23"/>
        </w:rPr>
        <w:t>Chapter 5 examines the structural conditions of legitimacy in the affected communities in detail across six dimensions: the information environment, the trust environment, the political economy of openness, water as a non-substitutable resource, place attachment and non-relocability, and the Aminuis-Leonardville gradient of refusal and ambivalence. The present section has established only the demographic, settlement, and economic anchoring on which those conditions operate. The analytical work that connects the anchoring to the social-licence question the report addresses is the task of Chapter 5 and the chapters that follow it.</w:t>
      </w:r>
    </w:p>
    <w:p>
      <w:pPr>
        <w:spacing w:before="360" w:after="120"/>
      </w:pPr>
      <w:r>
        <w:rPr>
          <w:b/>
          <w:color w:val="1F3864"/>
          <w:sz w:val="32"/>
        </w:rPr>
        <w:t>2.6  The Russian-Namibian diplomatic context</w:t>
      </w:r>
    </w:p>
    <w:p>
      <w:pPr>
        <w:spacing w:line="336" w:lineRule="auto" w:after="160"/>
        <w:jc w:val="both"/>
      </w:pPr>
      <w:r>
        <w:rPr>
          <w:sz w:val="23"/>
        </w:rPr>
        <w:t>The case cannot be situated entirely within Namibian regulatory and economic terms. Headspring Investments' corporate parent (Rosatom-controlled Uranium One Group) is a Russian state-owned entity, and the project's regulatory and political trajectory is operating within a wider bilateral relationship between Namibia and the Russian Federation that has both historical roots in the liberation period and active contemporary expression. The diplomatic context does not determine the case's regulatory outcomes, but it is part of the configuration of pressures within which those outcomes are being negotiated. The present section sets out what the documented record establishes about the diplomatic context, without yet undertaking the analytical work of locating the case within it. The analytical work belongs to Chapters 6 and 7.</w:t>
      </w:r>
    </w:p>
    <w:p>
      <w:pPr>
        <w:spacing w:line="336" w:lineRule="auto" w:after="160"/>
        <w:jc w:val="both"/>
      </w:pPr>
      <w:r>
        <w:rPr>
          <w:sz w:val="23"/>
        </w:rPr>
        <w:t>The diplomatic relationship between Namibia and the Russian Federation rests on a long historical foundation. The Soviet Union's support for the liberation movement led by the South West Africa People's Organisation (SWAPO) during the pre-independence period is documented in both countries' diplomatic-historical record, and the late founding President Sam Nujoma, who passed away on 8 February 2025, is referenced in contemporary Russian parliamentary statements as among the figures whose memory the Russian Federation has affirmed an intention to preserve (National Council of Namibia, 2025). Formal diplomatic relations between the two countries were established in March 1990, and the year 2025 therefore marks the thirty-fifth anniversary of those relations. The relationship is structured at the inter-parliamentary level through an Inter-Parliamentary Cooperation Agreement signed between the National Council of Namibia and the Federation Council of the Federal Assembly of the Russian Federation in March 2023, and through reciprocal Friendship Groups whose objective is the fostering of political, economic, scientific, and cultural cooperation between the two nations (National Council of Namibia, 2025).</w:t>
      </w:r>
    </w:p>
    <w:p>
      <w:pPr>
        <w:spacing w:line="336" w:lineRule="auto" w:after="160"/>
        <w:jc w:val="both"/>
      </w:pPr>
      <w:r>
        <w:rPr>
          <w:sz w:val="23"/>
        </w:rPr>
        <w:t>At the executive level, the bilateral relationship is structured through the Intergovernmental Russian-Namibian Commission on Trade and Economic Cooperation (IPC) and through a 2016 Intergovernmental Agreement on Cooperation in subsoil use and geology, under which a working group was established in 2018. The working group's activities stalled during the COVID-19 period and the Russian side, on the documented record of the May 2025 working visit, was at that point awaiting Namibian confirmation of a second working-group meeting to revive the collaboration. Commercial cooperation spans Russian fertiliser supplies into Namibia and Namibian exports of fruit and seafood into Russia, and the bilateral humanitarian record includes a Russian Federation contribution of USD 1.5 million to the UN World Food Programme in response to Namibia's 2024 drought (National Council of Namibia, 2025). Russian scholarships for Namibian students are documented as planned to increase from 25 to 30 per year, with a stated focus on fields including mining and medicine. Approximately 2,000 Namibians are recorded as Russian-speakers, and the establishment of a Russian language centre in Namibia has been canvassed.</w:t>
      </w:r>
    </w:p>
    <w:p>
      <w:pPr>
        <w:spacing w:line="336" w:lineRule="auto" w:after="160"/>
        <w:jc w:val="both"/>
      </w:pPr>
      <w:r>
        <w:rPr>
          <w:sz w:val="23"/>
        </w:rPr>
        <w:t>The Headspring component of the bilateral relationship is explicitly documented in the May 2025 working-visit report. In the meeting between the Namibian National Council delegation and the Deputy Minister of the Russian Federation Ministry of Natural Resources and Environment, the Deputy Minister 'spotlighted Uranium One (Rosatom's subsidiary) currently exploring uranium deposits in Namibia's Omaheke region', and noted in the same meeting that 'Rosatom also discussed the potential introduction of floating nuclear power plants to enhance Namibia's energy security and reduce reliance on electricity imports' (National Council of Namibia, 2025, §5.2). The discussion in the same meeting extended to broader economic collaboration with Russian companies including Rosgeo and Uranium One, with the explicit framing that the discussions centred on 'investments in Namibia's mining sector, particularly uranium exploration and extraction, as well as potential partnerships in other sectors like agriculture and infrastructure development' (National Council of Namibia, 2025, §5.3). The documented record establishes, on these passages, that Uranium One's Omaheke activity has been raised at ministerial level on the Russian side as part of the bilateral economic-cooperation portfolio. The analytical implications of the framing are reserved for Chapters 6 and 7.</w:t>
      </w:r>
    </w:p>
    <w:p>
      <w:pPr>
        <w:spacing w:line="336" w:lineRule="auto" w:after="160"/>
        <w:jc w:val="both"/>
      </w:pPr>
      <w:r>
        <w:rPr>
          <w:sz w:val="23"/>
        </w:rPr>
        <w:t>The Namibian National Council delegation's working visit, led by Hon. Abner Shikongo and including Hon. Olivia Hanghuwo, Hon. Paulus Mbangu, Hon. Anseline Beukes, and Advocate Tousy Namiseb (Secretary to the National Council), took place from 16 to 23 May 2025. The visit included meetings with the Russian Federation Council Friendship Group, the State Duma Deputy Group for relations with the Republic of Namibia, the Ministry of Natural Resources, and the Department of Africa States within the Russian Foreign Ministry; a regional visit to the Yaroslavl Region; and the cultural programme typical of inter-parliamentary visits at this level. The delegation's report, issued in June 2025, recommends inter alia that the Friendship Group convene meetings with Namibian stakeholders from the education, health, mining, and tourism sectors and the Namibia Investment Promotion and Development Board (NIPDB), among other institutions, 'to explore new areas of cooperation and strengthen existing bilateral relations' (National Council of Namibia, 2025, §9.1).</w:t>
      </w:r>
    </w:p>
    <w:p>
      <w:pPr>
        <w:spacing w:line="336" w:lineRule="auto" w:after="160"/>
        <w:jc w:val="both"/>
      </w:pPr>
      <w:r>
        <w:rPr>
          <w:sz w:val="23"/>
        </w:rPr>
        <w:t>The Russian-Namibian diplomatic context bears on the case in three connected ways that the documented record establishes but the analytical chapters develop. First, it locates the Headspring project within an operative state-to-state relationship that includes scholarship flows, humanitarian support, trade flows, and inter-parliamentary engagement, and therefore within a configuration of pressures broader than the case-specific regulatory question. Second, it documents that the project has been raised at ministerial level on the Russian side and treated as part of the bilateral economic cooperation portfolio, including, on the documented record, the framing of potential floating nuclear power plants as linked to Namibian energy security. Third, it places the Namibian National Council's 2025 reciprocal visit, including the meeting at which the Russian Deputy Minister of Natural Resources spotlighted Uranium One's Omaheke activity, on the documented record of the case at the level of inter-parliamentary engagement. The diplomatic-context evidence does not, on the discipline this report applies, settle the social-licence question or the regulatory-architectural question. It establishes a feature of the case's configuration that the analytical chapters take into account where it bears on their substantive work.</w:t>
      </w:r>
    </w:p>
    <w:p>
      <w:r>
        <w:br w:type="page"/>
      </w:r>
    </w:p>
    <w:p>
      <w:pPr>
        <w:jc w:val="center"/>
      </w:pPr>
      <w:r>
        <w:rPr>
          <w:b/>
          <w:color w:val="595959"/>
          <w:sz w:val="26"/>
        </w:rPr>
        <w:t>CHAPTER 3</w:t>
      </w:r>
    </w:p>
    <w:p>
      <w:pPr>
        <w:jc w:val="center"/>
      </w:pPr>
      <w:r>
        <w:rPr>
          <w:b/>
          <w:color w:val="1F3864"/>
          <w:sz w:val="44"/>
        </w:rPr>
        <w:t>LITERATURE REVIEW</w:t>
      </w:r>
    </w:p>
    <w:p>
      <w:pPr>
        <w:jc w:val="center"/>
      </w:pPr>
      <w:r>
        <w:rPr>
          <w:i/>
          <w:color w:val="595959"/>
          <w:sz w:val="24"/>
        </w:rPr>
        <w:t>Social licence, procedural justice, extractive governance, and transboundary groundwater law</w:t>
      </w:r>
    </w:p>
    <w:p/>
    <w:p/>
    <w:p>
      <w:pPr>
        <w:spacing w:before="360" w:after="120"/>
      </w:pPr>
      <w:r>
        <w:rPr>
          <w:b/>
          <w:color w:val="1F3864"/>
          <w:sz w:val="32"/>
        </w:rPr>
        <w:t>3.1  Introduction: four literatures and one case</w:t>
      </w:r>
    </w:p>
    <w:p>
      <w:pPr>
        <w:spacing w:line="336" w:lineRule="auto" w:after="160"/>
        <w:jc w:val="both"/>
      </w:pPr>
      <w:r>
        <w:rPr>
          <w:sz w:val="23"/>
        </w:rPr>
        <w:t>The case examined in this report sits at the intersection of four bodies of scholarship, each of which contributes an analytical instrument the subsequent chapters use. The social-licence-to-operate (SLO) literature supplies the principal frame within which the relationship between an extractive project and its host community is understood. The procedural-justice, recognition-justice, and Free, Prior and Informed Consent (FPIC) literatures supply the normative and doctrinal infrastructure on which the SLO procedural-fairness account rests. The extractive-governance and regulatory-design literatures supply the institutional and political-economic scholarship through which the case's regulatory configuration can be analysed. And the transboundary-groundwater-law literature supplies the international-legal architecture within which a transboundary-aquifer extractive case operates. This chapter reviews each in turn.</w:t>
      </w:r>
    </w:p>
    <w:p>
      <w:pPr>
        <w:spacing w:line="336" w:lineRule="auto" w:after="160"/>
        <w:jc w:val="both"/>
      </w:pPr>
      <w:r>
        <w:rPr>
          <w:sz w:val="23"/>
        </w:rPr>
        <w:t>The chapter's substantive register is academic literature review. Citations are more dense than in the case chapters that follow; sections synthesise rather than catalogue; and each section closes with a paragraph linking the literature reviewed to the operative use in the case chapters. The chapter is therefore a survey informed by the case rather than an abstract survey unanchored to the report's substantive matter. The reader who has come to Chapter 3 from Chapters 1 and 2 will find the analytical instruments Chapters 5 to 8 deploy reviewed here at their conceptual depth; the reader who reads Chapter 3 in advance of those chapters will be prepared for the substantive analytical work to come.</w:t>
      </w:r>
    </w:p>
    <w:p>
      <w:pPr>
        <w:spacing w:before="360" w:after="120"/>
      </w:pPr>
      <w:r>
        <w:rPr>
          <w:b/>
          <w:color w:val="1F3864"/>
          <w:sz w:val="32"/>
        </w:rPr>
        <w:t>3.2  Social licence to operate: origin, development, and critique</w:t>
      </w:r>
    </w:p>
    <w:p>
      <w:pPr>
        <w:spacing w:line="336" w:lineRule="auto" w:after="160"/>
        <w:jc w:val="both"/>
      </w:pPr>
      <w:r>
        <w:rPr>
          <w:sz w:val="23"/>
        </w:rPr>
        <w:t>The term 'social licence to operate' originates in the late-1990s mining-industry commentary on the regulatory and reputational pressures that extractive projects had begun to face beyond the formal regulatory licence. Cooney's (2017) reflection on the term's twentieth anniversary locates the phrase's emergence in the Canadian and Australian mining-industry contexts of the 1990s, where the recognition that a regulatory licence was necessary but no longer sufficient for an extractive project's operational standing pushed industry scholarship to articulate the wider community-level legitimation the project required. Gunningham, Kagan, and Thornton (2004) supplied the early analytical formulation in their 'social licence and environmental protection' framework, in which social licence operates alongside the regulatory and the economic licences to shape corporate environmental behaviour. The framework's contribution was to make explicit the conceptual category of 'grudging compliance' (extractive operations conducted under conditions of community tolerance rather than community endorsement) that the contemporary SLO literature continues to develop.</w:t>
      </w:r>
    </w:p>
    <w:p>
      <w:pPr>
        <w:spacing w:line="336" w:lineRule="auto" w:after="160"/>
        <w:jc w:val="both"/>
      </w:pPr>
      <w:r>
        <w:rPr>
          <w:sz w:val="23"/>
        </w:rPr>
        <w:t>The framework's principal contemporary consolidation is Boutilier's (2014) account in 'Frequently asked questions about the social licence to operate', which sets out the four-level licence pyramid that has become the operative shorthand in much subsequent scholarship. Boutilier's framework distinguishes four progressively deeper relational states between project and host community: withholding (or withdrawal of) the licence, in which the community actively or passively blocks the project's social legitimation; acceptance, in which the community tolerates the project's operation but does not endorse it; approval, in which the community recognises the project as a legitimate operation in the community's territory; and identification, the deepest level, in which community members come to identify with the project as part of the community's own life. Thomson and Boutilier (2011) developed the operative methodology for assessing community position along this pyramid, principally through the SLO survey instrument that subsequent applied work has refined. The pyramid is the operative instrument Chapter 6 §6.7 deploys in its synthesis of where the STAS case's licence configuration sits.</w:t>
      </w:r>
    </w:p>
    <w:p>
      <w:pPr>
        <w:spacing w:line="336" w:lineRule="auto" w:after="160"/>
        <w:jc w:val="both"/>
      </w:pPr>
      <w:r>
        <w:rPr>
          <w:sz w:val="23"/>
        </w:rPr>
        <w:t>The procedural-fairness account of social licence (the analytical frame that gives the SLO literature its most substantial contemporary depth) is most fully developed in Moffat and Zhang (2014) and in the sequence of work by Owen and Kemp (2013, 2014, 2017). Moffat and Zhang's (2014) model, developed against Australian and international extractive cases, argues that the determinants of social licence are principally procedural rather than substantive: communities accord legitimacy to projects on the basis of how the procedural relationship is conducted (whether the community is heard, whether positions registered are responded to, whether commitments made are kept) rather than on the basis of the project's substantive merits considered in isolation. The procedural-fairness account thus locates the analytical centre of gravity in the procedural conduct of the relationship rather than in the substantive merits of the operation. Owen and Kemp's (2013) 'Social licence and mining: a critical perspective' introduces the analytical critique of the SLO concept's tendency to flatten substantive grievances into procedural engagement questions. Their subsequent work on community-relations practice (Owen and Kemp, 2014) develops the operational dimensions, and their Extractive Relations volume (Owen and Kemp, 2017) consolidates the deeper countervailing-power critique of corporate-mining engagement, which identifies asymmetries of procedural capacity between proponent and affected community as the structural feature the SLO concept can either obscure or expose.</w:t>
      </w:r>
    </w:p>
    <w:p>
      <w:pPr>
        <w:spacing w:line="336" w:lineRule="auto" w:after="160"/>
        <w:jc w:val="both"/>
      </w:pPr>
      <w:r>
        <w:rPr>
          <w:sz w:val="23"/>
        </w:rPr>
        <w:t>Prno and Slocombe (2012) supply the systems-perspective extension of the SLO framework, drawing on governance and sustainability theory to develop a wider conceptual frame in which social licence operates as one of several emergent properties of the broader extractive-governance system. Their contribution to the literature has been the location of SLO within a wider governance-theoretical landscape that connects it to other governance concepts (regulatory compliance, corporate social responsibility, community development). Bice (2014) and Bice, Brueckner, and Pforr (2017) further extend the SLO concept's application in Australian mining contexts, supplying empirical detail on what communities take the operative content of social licence to consist of and developing risk-and-licensing models that operationalise the concept for industry use. The SLO literature has, in this wider development, become a sub-field of extractive-governance scholarship with its own operational instruments, methodological conventions, and contested theoretical positions.</w:t>
      </w:r>
    </w:p>
    <w:p>
      <w:pPr>
        <w:spacing w:line="336" w:lineRule="auto" w:after="160"/>
        <w:jc w:val="both"/>
      </w:pPr>
      <w:r>
        <w:rPr>
          <w:sz w:val="23"/>
        </w:rPr>
        <w:t>Critical SLO scholarship has, in recent years, raised substantive concerns about the framework's analytical adequacy. Ehrnström-Fuentes (2016), in her 'delinking legitimacies' analysis from a pluriversal perspective on political CSR, argues that the SLO concept is structurally configured to misrecognise the political-ontological asymmetries between extractive corporations and affected communities. Where the affected community operates within an ontology of relational obligation to place, ancestry, and non-substitutable resources, the SLO framework reads the community's positions through the modernist procedural ontology the framework is built on, producing what Ehrnström-Fuentes terms political-ontological misrecognition. Gehman, Lefsrud, and Lounsbury (2017) develop a complementary critique in 'Social license to operate: Legitimacy by another name?', arguing that the SLO concept risks recoding legitimacy questions in industry-friendly procedural terms that obscure the deeper political and distributional questions the framework purports to address. Kirsch's (2014) Mining Capitalism analyses the broader corporate-communications strategies through which extractive operations seek social licence, including the strategic-disaggregation pattern through which transnational mining groups manage community engagement at the project rather than at the programme level. The case for the strategic-disaggregation argument is developed in the context of the Ok Tedi and BHP cases but its application extends to other configurations the present report's case material includes. The critical SLO literature, taken together, treats the framework as a contested rather than settled analytical instrument, and the present report's case work engages with these critical positions where the case material independently produces them.</w:t>
      </w:r>
    </w:p>
    <w:p>
      <w:pPr>
        <w:spacing w:line="336" w:lineRule="auto" w:after="160"/>
        <w:jc w:val="both"/>
      </w:pPr>
      <w:r>
        <w:rPr>
          <w:sz w:val="23"/>
        </w:rPr>
        <w:t>The SLO literature's operative use in the present report is, in summary, threefold. Chapter 6 §6.7 deploys Boutilier's (2014) four-level pyramid as the synthesis instrument for characterising the licence on offer in the STAS case. Chapter 6 §6.7 and Chapter 7 §7.4 draw on Moffat and Zhang (2014) and Owen and Kemp (2017) for the procedural-fairness account that the regulatory-architectural critique rests on. And Chapter 6 §6.7 and Chapter 7 §7.4 engage with Ehrnström-Fuentes (2016) and Kirsch (2014) where the case material produces the political-ontological misrecognition and strategic-disaggregation patterns these critical scholars develop. The report's case work therefore engages with the SLO literature in both its consolidated and its critical registers.</w:t>
      </w:r>
    </w:p>
    <w:p>
      <w:pPr>
        <w:spacing w:before="360" w:after="120"/>
      </w:pPr>
      <w:r>
        <w:rPr>
          <w:b/>
          <w:color w:val="1F3864"/>
          <w:sz w:val="32"/>
        </w:rPr>
        <w:t>3.3  Procedural justice, recognition justice, the FPIC doctrine, and the right to water</w:t>
      </w:r>
    </w:p>
    <w:p>
      <w:pPr>
        <w:spacing w:line="336" w:lineRule="auto" w:after="160"/>
        <w:jc w:val="both"/>
      </w:pPr>
      <w:r>
        <w:rPr>
          <w:sz w:val="23"/>
        </w:rPr>
        <w:t>The procedural-fairness account of social licence reviewed in §3.2 has deeper conceptual roots in the environmental-justice and procedural-justice scholarship that this section develops. Schlosberg's (2007) Defining Environmental Justice supplies the foundational trivalent framework on which much subsequent scholarship rests: environmental justice has distributive, procedural, and recognition dimensions, each operating differently and each requiring its own analytical treatment. The distributive dimension addresses the distribution of environmental harms and goods across populations; the procedural dimension addresses the processes through which decisions about environmental risks and benefits are made; the recognition dimension addresses whether the parties to those decisions are recognised as parties at all, in the social, political, and cultural senses recognition operates in. The trivalent framework's contribution is the analytical claim that environmental-justice questions cannot be reduced to any single dimension. Distributive analyses without procedural and recognition analyses miss the procedural and constitutive structures within which distributive patterns are produced, and procedural analyses without recognition analyses miss the constitutive question of who counts as a procedural party in the first place.</w:t>
      </w:r>
    </w:p>
    <w:p>
      <w:pPr>
        <w:spacing w:line="336" w:lineRule="auto" w:after="160"/>
        <w:jc w:val="both"/>
      </w:pPr>
      <w:r>
        <w:rPr>
          <w:sz w:val="23"/>
        </w:rPr>
        <w:t>Whyte's (2011) treatment of the recognition dimensions of environmental justice in indigenous North America develops the recognition dimension at a depth particularly relevant to the present case. Whyte argues that recognition-justice claims are not adequately captured by procedural-fairness arrangements that proceed on the basis of antecedently-constituted procedural parties. The recognition-justice tradition holds that the constitution of parties (who is recognised as a participant in the procedural process, on what terms their participation is acknowledged, what their cultural and ontological standing is treated as warranting) is itself a question that precedes the procedural-fairness question and must be addressed analytically before procedural fairness can be coherently assessed. The recognition-justice tradition has been extended in the extractive-governance context by Hanna, Vanclay, Langdon, and Arts (2016) in their conceptualisation of social protest and the significance of protest actions to large projects, and by Conde and Le Billon (2017) in their analysis of why some communities resist mining projects while others do not. Both works develop the operative dimensions of recognition justice in cases of the kind the present report examines.</w:t>
      </w:r>
    </w:p>
    <w:p>
      <w:pPr>
        <w:spacing w:line="336" w:lineRule="auto" w:after="160"/>
        <w:jc w:val="both"/>
      </w:pPr>
      <w:r>
        <w:rPr>
          <w:sz w:val="23"/>
        </w:rPr>
        <w:t>Renn's (2008) Risk Governance treatise supplies a complementary framework that bridges procedural justice and risk-management practice in extractive and other risk-laden cases. Renn distinguishes among simple, complex, uncertain, and ambiguous risk configurations, and develops the procedural implications of each: the more complex, uncertain, or ambiguous the risk, the more the procedural process must rely on participatory, deliberative, and inclusive methods rather than on technical assessment alone. The present case's risk configuration is, on the convergent documented evidence Chapter 6 §6.2 examines, complex and uncertain at minimum and ambiguous on the contested-technical-assessment dimension. Renn's framework therefore supplies the analytical anchoring for the case's procedural-fairness requirements at the complexity and uncertainty levels the substantive matter exhibits.</w:t>
      </w:r>
    </w:p>
    <w:p>
      <w:pPr>
        <w:spacing w:line="336" w:lineRule="auto" w:after="160"/>
        <w:jc w:val="both"/>
      </w:pPr>
      <w:r>
        <w:rPr>
          <w:sz w:val="23"/>
        </w:rPr>
        <w:t>The Free, Prior and Informed Consent (FPIC) doctrine is the operative international-law instrument through which recognition-justice principles have been brought into the procedural-fairness scaffolding of extractive cases. The doctrine has two principal foundations in international law. First, the International Labour Organization (ILO) Convention No. 169 concerning Indigenous and Tribal Peoples in Independent Countries (ILO, 1989), the first binding international instrument to require state consultation with indigenous peoples on matters affecting them, and which Article 6 specifies must be conducted in good faith and in a form appropriate to the circumstances with the objective of achieving agreement or consent. Second, the United Nations Declaration on the Rights of Indigenous Peoples (UNDRIP) (UN General Assembly, 2007), which Article 32 specifies the requirement for states to obtain free, prior, and informed consent before the approval of any project affecting indigenous peoples' lands or territories. UNDRIP is not, strictly, a binding instrument, but it has been extensively cited in subsequent state, corporate, and intergovernmental practice as the operative articulation of the FPIC principle. The doctrine has been operationalised at the corporate and project-finance levels through the International Finance Corporation's (2012) Performance Standard 7 on Indigenous Peoples and through the International Council on Mining and Metals' (2013) Position Statement on Indigenous Peoples and Mining, both of which require their member-institution-financed or member-company projects to obtain FPIC where they affect indigenous-peoples' territories. The FPIC doctrine has also been extended in scholarly and advocacy practice to non-indigenous affected communities, on the analytical basis that the procedural-fairness principles FPIC operationalises apply to any community whose territory or livelihood is affected by an extractive operation.</w:t>
      </w:r>
    </w:p>
    <w:p>
      <w:pPr>
        <w:spacing w:line="336" w:lineRule="auto" w:after="160"/>
        <w:jc w:val="both"/>
      </w:pPr>
      <w:r>
        <w:rPr>
          <w:sz w:val="23"/>
        </w:rPr>
        <w:t>The human right to water and sanitation supplies a further international-law anchor for the procedural-fairness scaffolding, particularly in cases where the substantive matter concerns water resources directly. The UN General Assembly's Resolution 64/292 (UN General Assembly, 2010) recognised the right to safe and clean drinking water and sanitation as a human right essential for the full enjoyment of life and all human rights. The Committee on Economic, Social and Cultural Rights (CESCR) had earlier set out the doctrinal content of the right in General Comment No. 15 (CESCR, 2002) under articles 11 and 12 of the International Covenant on Economic, Social and Cultural Rights, including its dimensions of availability, accessibility (physical, economic, non-discriminatory, and informational), and quality. Kemp, Bond, Franks, and Côté (2010), in 'Mining, water and human rights: making the connection', bring the right-to-water framework into direct application to the extractive industries, arguing that mining operations that interfere with the availability, accessibility, or quality of the affected community's water supply engage the right-to-water obligations the international-law framework specifies. The right-to-water framework operates alongside the FPIC doctrine and the procedural-justice tradition to supply a normative anchor for cases in which the substantive matter is the affected community's access to safe water, a category to which the present case directly belongs, on the documented evidence Chapter 5 §5.5 develops about water as a non-substitutable resource in the affected communities.</w:t>
      </w:r>
    </w:p>
    <w:p>
      <w:pPr>
        <w:spacing w:line="336" w:lineRule="auto" w:after="160"/>
        <w:jc w:val="both"/>
      </w:pPr>
      <w:r>
        <w:rPr>
          <w:sz w:val="23"/>
        </w:rPr>
        <w:t>The procedural-justice, recognition-justice, FPIC, and right-to-water frameworks operate, in the present report's case work, as the doctrinal and normative infrastructure on which the SLO procedural-fairness account rests. Chapter 5 §5.3 on the trust environment and §5.5 on water as non-substitutable draws on the right-to-water framework. Chapter 6 §6.4 on the community-position typology draws on the recognition-justice tradition. Chapter 6 §6.7.6 (Condition 5 on community-side institutional infrastructure) and Chapter 7 §7.3.3 (Gap 3 on community-side procedural standing in mineral-rights matters) draw on the FPIC doctrine and the wider recognition-justice literature. The doctrinal infrastructure is not, in the present report's framing, an analytical layer applied externally to the case. It is the international-legal and normative scaffolding within which the case's procedural-fairness requirements are constituted.</w:t>
      </w:r>
    </w:p>
    <w:p>
      <w:pPr>
        <w:spacing w:before="360" w:after="120"/>
      </w:pPr>
      <w:r>
        <w:rPr>
          <w:b/>
          <w:color w:val="1F3864"/>
          <w:sz w:val="32"/>
        </w:rPr>
        <w:t>3.4  Extractive governance and regulatory design</w:t>
      </w:r>
    </w:p>
    <w:p>
      <w:pPr>
        <w:spacing w:line="336" w:lineRule="auto" w:after="160"/>
        <w:jc w:val="both"/>
      </w:pPr>
      <w:r>
        <w:rPr>
          <w:sz w:val="23"/>
        </w:rPr>
        <w:t>The extractive-governance and regulatory-design literatures broaden the analytical frame beyond social-licence theory to include the institutional architecture within which extractive cases operate. Bridge's (2004) 'Mapping the bonanza' analysis of mining-investment geographies under neoliberal regulatory reform supplies the geographical and political-economic context for understanding why and how the extractive-industry footprint has expanded in particular jurisdictions over the post-1990 period. Watts's (2004) analysis of resource governmentality, oil, and power in the Niger Delta develops the resource-curse argument in its operative form: extractive resources do not produce developmental outcomes by their presence alone, and the institutional architecture within which they are governed structurally shapes whether their extraction produces developmental, distributive, or conflict outcomes. The Watts analysis remains operative in the African and SADC-regional extractive-governance literature, including in the present case's comparative engagement.</w:t>
      </w:r>
    </w:p>
    <w:p>
      <w:pPr>
        <w:spacing w:line="336" w:lineRule="auto" w:after="160"/>
        <w:jc w:val="both"/>
      </w:pPr>
      <w:r>
        <w:rPr>
          <w:sz w:val="23"/>
        </w:rPr>
        <w:t>Bebbington and Bury's (2013) edited volume Subterranean Struggles: New Dynamics of Mining, Oil, and Gas in Latin America has become the principal comparative reference for extractive-governance scholarship in the post-2010 period. The volume's contribution is the systematic comparative analysis of extractive-conflict cases across multiple Latin American jurisdictions, identifying common structural features (regulatory underperformance at the operational level; community-side institutional weakness; the political economy of state-industry alignment under conditions of extractive-rent dependence) and common procedural patterns (EIA-architecture failure; consultation processes that fail to constitute consent; community-organisation engagement that produces protest rather than resolution). The volume's comparative analysis supplies the analytical instruments the present report uses in Chapter 7 §7.3 to characterise the Namibian extractive-regulatory architecture's structural gaps in relation to the comparable jurisdictions Bebbington and Bury examine.</w:t>
      </w:r>
    </w:p>
    <w:p>
      <w:pPr>
        <w:spacing w:line="336" w:lineRule="auto" w:after="160"/>
        <w:jc w:val="both"/>
      </w:pPr>
      <w:r>
        <w:rPr>
          <w:sz w:val="23"/>
        </w:rPr>
        <w:t>Levi-Faur's (2011) Handbook on the Politics of Regulation supplies the regulatory-state architecture scholarship within which the present case's regulatory analysis sits. Levi-Faur's account of regulatory-state fragmentation in post-developmental jurisdictions identifies the recurring pattern in which formal regulatory architectures are designed to international best practice but operate in practice under conditions of institutional fragmentation, executive-discretion-dependence, and operational under-performance. The pattern is operative in the present case's Chapter 7 §7.3 analysis of the four structural gaps in the Namibian extractive-regulatory architecture, particularly in the characterisation of the architecture's reliance on executive discretion as the principal procedural mechanism (Gap 1) and the design-level under-performance of the EIA architecture (Gap 4).</w:t>
      </w:r>
    </w:p>
    <w:p>
      <w:pPr>
        <w:spacing w:line="336" w:lineRule="auto" w:after="160"/>
        <w:jc w:val="both"/>
      </w:pPr>
      <w:r>
        <w:rPr>
          <w:sz w:val="23"/>
        </w:rPr>
        <w:t>Kirsch's (2014) Mining Capitalism, already noted in §3.2 in the critical-SLO context, supplies the wider analytical instrument for examining transnational corporate-mining strategy. The strategic-disaggregation argument (that transnational mining groups disaggregate their corporate-operational footprints across multiple legally separate corporate entities to manage community engagement at the project rather than at the programme level) is developed principally through the Ok Tedi and BHP cases but is extended through the wider extractive-governance literature to other corporate configurations. Chapter 6 §6.7.4 and Chapter 7 §7.4 engage with Kirsch's framework in the context of the basin-wide EPL programme the present case documents.</w:t>
      </w:r>
    </w:p>
    <w:p>
      <w:pPr>
        <w:spacing w:line="336" w:lineRule="auto" w:after="160"/>
        <w:jc w:val="both"/>
      </w:pPr>
      <w:r>
        <w:rPr>
          <w:sz w:val="23"/>
        </w:rPr>
        <w:t>The corporate-transparency and beneficial-ownership scholarship supplies the analytical apparatus for examining the disclosure architecture within which extractive corporate groups operate. Le Billon's (2012) Wars of Plunder develops the political-economy of extractive-industry opacity in its operative form: extractive industries operate at scales of corporate organisation that statutory disclosure standards calibrated to single-licensee assumptions cannot capture. Sharman's (2017) Despot's Guide to Wealth Management develops the parallel analysis of offshore corporate-services architecture and the structural difficulty of beneficial-ownership transparency in jurisdictions where such transparency is not statutorily required. The Extractive Industries Transparency Initiative's Standard 2023 (EITI, 2023) supplies the operative international benchmark for beneficial-ownership transparency in extractive industries, against which the Namibian regulatory architecture's Chapter 7 §7.3.2 (Gap 2 on beneficial-ownership transparency and basin-wide liability arrangements) is assessed. The scholarship and the operative instruments converge on the analytical claim that effective extractive-governance requires disclosure architectures whose scale matches the scale of the corporate-organisational reality being regulated, a claim the present case's findings substantially exemplify.</w:t>
      </w:r>
    </w:p>
    <w:p>
      <w:pPr>
        <w:spacing w:line="336" w:lineRule="auto" w:after="160"/>
        <w:jc w:val="both"/>
      </w:pPr>
      <w:r>
        <w:rPr>
          <w:sz w:val="23"/>
        </w:rPr>
        <w:t>The community-side institutional architecture literature, already noted in §3.3, supplies the comparative scholarly anchoring for the present case's Chapter 6 §6.7.6 (Condition 5) and Chapter 7 §7.3.3 (Gap 3) analyses. Hanna et al. (2016) and Conde and Le Billon (2017) supply the empirical comparative base; the recognition-justice tradition supplies the normative grounding; and the wider extractive-governance literature supplies the structural-political-economy scholarship within which the community-side institutional question operates. The extractive-governance literature's contribution to the present report's case work is, in summary, the analytical instrument through which the case's regulatory-architectural configuration is examined against comparable jurisdictions' patterns, an examination that Chapter 7 conducts in its regulatory-architectural critique.</w:t>
      </w:r>
    </w:p>
    <w:p>
      <w:pPr>
        <w:spacing w:before="360" w:after="120"/>
      </w:pPr>
      <w:r>
        <w:rPr>
          <w:b/>
          <w:color w:val="1F3864"/>
          <w:sz w:val="32"/>
        </w:rPr>
        <w:t>3.5  Transboundary groundwater law and aquifer governance</w:t>
      </w:r>
    </w:p>
    <w:p>
      <w:pPr>
        <w:spacing w:line="336" w:lineRule="auto" w:after="160"/>
        <w:jc w:val="both"/>
      </w:pPr>
      <w:r>
        <w:rPr>
          <w:sz w:val="23"/>
        </w:rPr>
        <w:t>The transboundary character of the STAS aquifer system means that the case operates within an international-law architecture for shared water resources that this section reviews. The foundational international-law instrument is the United Nations Convention on the Law of the Non-Navigational Uses of International Watercourses (United Nations, 1997), which entered into force in August 2014 after the requisite ratifications. The Convention codifies two principal doctrinal pillars of international watercourses law: the principle of equitable and reasonable utilisation (Article 5), which requires watercourse states to utilise an international watercourse in their territories in an equitable and reasonable manner with the aim of attaining optimal and sustainable utilisation consistent with adequate protection of the watercourse; and the obligation not to cause significant harm (Article 7), which requires watercourse states to take all appropriate measures to prevent the causing of significant harm to other watercourse states. The Convention also codifies prior-notification obligations (Articles 11 to 19) requiring watercourse states to notify other watercourse states of planned measures that may have a significant adverse effect.</w:t>
      </w:r>
    </w:p>
    <w:p>
      <w:pPr>
        <w:spacing w:line="336" w:lineRule="auto" w:after="160"/>
        <w:jc w:val="both"/>
      </w:pPr>
      <w:r>
        <w:rPr>
          <w:sz w:val="23"/>
        </w:rPr>
        <w:t>Transboundary aquifers were not adequately covered by the 1997 UN Watercourses Convention. The International Law Commission's (ILC) Draft Articles on the Law of Transboundary Aquifers (ILC, 2008) were developed to address this gap. The Draft Articles specify, among other obligations, the duty of aquifer states to co-operate in the protection and preservation of the transboundary aquifer (Article 7); the obligation to provide prior notification of planned activities that may affect the aquifer (Article 15); the obligation to assess potential transboundary effects (Article 14); and the obligation to exchange data and information on the condition of the aquifer (Article 13). Although the Draft Articles have not, as of the time of writing, been formally adopted as a binding treaty instrument, they have been extensively cited in subsequent state, intergovernmental, and academic practice as the operative articulation of transboundary-aquifer obligations under international law.</w:t>
      </w:r>
    </w:p>
    <w:p>
      <w:pPr>
        <w:spacing w:line="336" w:lineRule="auto" w:after="160"/>
        <w:jc w:val="both"/>
      </w:pPr>
      <w:r>
        <w:rPr>
          <w:sz w:val="23"/>
        </w:rPr>
        <w:t>The SADC-region treaty instrument that operationalises these obligations in the case's geographical setting is the Revised Protocol on Shared Watercourses in the Southern African Development Community (SADC, 2000), signed in August 2000 and in force from September 2003. The Revised Protocol incorporates the equitable-and-reasonable-utilisation principle and the no-significant-harm obligation from the UN Watercourses Convention into the SADC regional framework, and adds the obligation in Article 4(1)(a) requiring a watercourse state to provide other watercourse states with timely notification, supported by available technical data and information, of planned measures that may have a significant adverse effect. Namibia is a party to the Revised Protocol, which is incorporated into Namibian law through Article 144 of the Namibian Constitution (Republic of Namibia, 1990). The Revised Protocol's operationalisation in the basin-area context is supported by the Orange-Senqu River Commission (ORASECOM), established under the 2000 Orange-Senqu Agreement, which operates as the standing intergovernmental commission with transboundary-water mandate across the basin's wider catchment. The Strategic Action Plan for the Stampriet Aquifer System (ORASECOM, 2022) operationalises ORASECOM's mandate for the basin specifically.</w:t>
      </w:r>
    </w:p>
    <w:p>
      <w:pPr>
        <w:spacing w:line="336" w:lineRule="auto" w:after="160"/>
        <w:jc w:val="both"/>
      </w:pPr>
      <w:r>
        <w:rPr>
          <w:sz w:val="23"/>
        </w:rPr>
        <w:t>Eckstein's (2017) The International Law of Transboundary Groundwater Resources supplies the operative academic synthesis of the transboundary-aquifer law literature, integrating the doctrinal analysis of the ILC Draft Articles and the UN Watercourses Convention with the hydrogeological scholarship on transboundary aquifers. Eckstein's contribution is the analytical claim that transboundary-aquifer law cannot be developed adequately at the level of legal doctrine alone. The substantive obligations the law specifies must be calibrated to the hydrogeological characteristics of the aquifer system in question, including its confined or unconfined character, its recharge mechanism, the timescales over which contamination would manifest, and the geographical extent of the transboundary unit. The wider scholarly literature on transboundary watercourses (McCaffrey's 2019 treatise The Law of International Watercourses is the most comprehensive) and the procedural scholarship on transboundary water cooperation (Wouters and Vinogradov, 2013) supply the doctrinal infrastructure that the case's Chapter 6 §6.7.6 (Condition 3 on transboundary consultation) and Chapter 7 §7.2.3 analyses operationalise.</w:t>
      </w:r>
    </w:p>
    <w:p>
      <w:pPr>
        <w:spacing w:line="336" w:lineRule="auto" w:after="160"/>
        <w:jc w:val="both"/>
      </w:pPr>
      <w:r>
        <w:rPr>
          <w:sz w:val="23"/>
        </w:rPr>
        <w:t>The UNESCO-IHP / IGRAC Governance of Groundwater Resources in Transboundary Aquifers (GGRETA) framework operationalises the international-law obligations at the STAS-specific level. The framework, funded by the Swiss Agency for Development and Cooperation, has produced the documentary base for the STAS at three levels: the UNESCO and IGRAC (2017) Stampriet Transboundary Aquifer System Assessment, which constitutes the principal Phase 1 Technical Report on the basin; the Joel (2014) country-level hydrogeology data harmonization report on the Namibian portion; and the IGRAC (2024) basin-wide briefing on uranium in-situ leach mining in the basin. The framework has initiated the Multi Country Consultative Body (MCCB) for integrated management of the system across the three states. The framework's operative significance for the present case is twofold: it supplies the existing transboundary-management scaffolding within which the case's Condition 3 (transboundary consultation) would be operationalised, and it documents the scientific and institutional basis on which the case's regulatory architecture rests.</w:t>
      </w:r>
    </w:p>
    <w:p>
      <w:pPr>
        <w:spacing w:before="360" w:after="120"/>
      </w:pPr>
      <w:r>
        <w:rPr>
          <w:b/>
          <w:color w:val="1F3864"/>
          <w:sz w:val="32"/>
        </w:rPr>
        <w:t>3.6  Conclusion: how the four literatures jointly ground the case's analytical work</w:t>
      </w:r>
    </w:p>
    <w:p>
      <w:pPr>
        <w:spacing w:line="336" w:lineRule="auto" w:after="160"/>
        <w:jc w:val="both"/>
      </w:pPr>
      <w:r>
        <w:rPr>
          <w:sz w:val="23"/>
        </w:rPr>
        <w:t>Four bodies of scholarship have been reviewed across §§3.2 to 3.5. They are interconnected rather than independent. The social-licence literature draws its procedural-fairness register from the procedural-justice and recognition-justice literatures; the procedural-justice literature in turn draws its operative content from the FPIC and right-to-water international-legal instruments; the extractive-governance and regulatory-design literature provides the institutional scholarship within which both the SLO and the procedural-justice traditions operate; and the transboundary-groundwater-law literature supplies the international-legal architecture within which extractive cases on shared aquifer systems must be understood. The case examined in this report sits at the intersection of all four, and its analytical work in Chapters 5 through 8 draws on each.</w:t>
      </w:r>
    </w:p>
    <w:p>
      <w:pPr>
        <w:spacing w:line="336" w:lineRule="auto" w:after="160"/>
        <w:jc w:val="both"/>
      </w:pPr>
      <w:r>
        <w:rPr>
          <w:sz w:val="23"/>
        </w:rPr>
        <w:t>Two observations close the review. First, the literatures are engaged with at the substantive level the case work requires: Chapter 5's structural-conditions analysis draws on the recognition-justice and right-to-water literatures; Chapter 6's architecture-of-positions mapping draws on the SLO and procedural-justice frameworks; Chapter 7's regulatory-architectural critique draws on the extractive-governance, regulatory-design, and transboundary-groundwater-law literatures. Second, the case is positioned, on its documented evidence, to engage with the literatures' contested as well as consolidated positions, particularly the critical SLO scholarship (Ehrnström-Fuentes, 2016; Kirsch, 2014) and the comparative extractive-governance literature (Bebbington and Bury, 2013; Watts, 2004), without itself adjudicating the contested positions at the scholarly level.</w:t>
      </w:r>
    </w:p>
    <w:p>
      <w:pPr>
        <w:spacing w:line="336" w:lineRule="auto" w:after="160"/>
        <w:jc w:val="both"/>
      </w:pPr>
      <w:r>
        <w:rPr>
          <w:sz w:val="23"/>
        </w:rPr>
        <w:t>Chapter 4 turns from the substantive-literature review to the methodological scholarship and the operative research design through which the case work has been conducted. The four-channel evidentiary discipline that Chapter 6 deploys, the hybrid directed-inductive thematic-analysis methodology that supports the qualitative work, and the documentary methodology that governs the open-record material (all of which draw on a further methodological literature this chapter has deliberately not reviewed) are the subjects of Chapter 4.</w:t>
      </w:r>
    </w:p>
    <w:p>
      <w:r>
        <w:br w:type="page"/>
      </w:r>
    </w:p>
    <w:p>
      <w:pPr>
        <w:jc w:val="center"/>
      </w:pPr>
      <w:r>
        <w:rPr>
          <w:b/>
          <w:color w:val="595959"/>
          <w:sz w:val="26"/>
        </w:rPr>
        <w:t>CHAPTER 4</w:t>
      </w:r>
    </w:p>
    <w:p>
      <w:pPr>
        <w:jc w:val="center"/>
      </w:pPr>
      <w:r>
        <w:rPr>
          <w:b/>
          <w:color w:val="1F3864"/>
          <w:sz w:val="44"/>
        </w:rPr>
        <w:t>METHODOLOGY</w:t>
      </w:r>
    </w:p>
    <w:p>
      <w:pPr>
        <w:jc w:val="center"/>
      </w:pPr>
      <w:r>
        <w:rPr>
          <w:i/>
          <w:color w:val="595959"/>
          <w:sz w:val="24"/>
        </w:rPr>
        <w:t>Research design, the four-channel evidentiary discipline, fieldwork, documentary methodology, ethics, and limitations</w:t>
      </w:r>
    </w:p>
    <w:p/>
    <w:p/>
    <w:p>
      <w:pPr>
        <w:spacing w:before="360" w:after="120"/>
      </w:pPr>
      <w:r>
        <w:rPr>
          <w:b/>
          <w:color w:val="1F3864"/>
          <w:sz w:val="32"/>
        </w:rPr>
        <w:t>4.1  Introduction: methodology and the case</w:t>
      </w:r>
    </w:p>
    <w:p>
      <w:pPr>
        <w:spacing w:line="336" w:lineRule="auto" w:after="160"/>
        <w:jc w:val="both"/>
      </w:pPr>
      <w:r>
        <w:rPr>
          <w:sz w:val="23"/>
        </w:rPr>
        <w:t>This chapter describes how the research was actually done, from design through fieldwork to analysis. It sits between Chapter 3, which reviewed the substantive literatures on social licence, procedural and recognition justice, extractive governance, and transboundary aquifer law, and Chapter 5, which begins the case work proper. The job here is practical: to explain what the research did, on what evidence, and within what limits.</w:t>
      </w:r>
    </w:p>
    <w:p>
      <w:pPr>
        <w:spacing w:line="336" w:lineRule="auto" w:after="160"/>
        <w:jc w:val="both"/>
      </w:pPr>
      <w:r>
        <w:rPr>
          <w:sz w:val="23"/>
        </w:rPr>
        <w:t>Methodology has its own literature, separate from the substantive literatures Chapter 3 covered, and this chapter draws on it openly. The thematic-analysis tradition Braun and Clarke (2006, 2022) consolidated, the constructivist grounded theory Charmaz (2014) developed, Yin's (2018) qualitative case-study framework, the qualitative interviewing tradition of Kvale and Brinkmann (2015), and the wider methodological scholarship of Patton (2015), Lincoln and Guba (1985), and Guba and Lincoln (1994). Where those references appear in what follows, they are doing methodological work, not substantive work.</w:t>
      </w:r>
    </w:p>
    <w:p>
      <w:pPr>
        <w:spacing w:before="360" w:after="120"/>
      </w:pPr>
      <w:r>
        <w:rPr>
          <w:b/>
          <w:color w:val="1F3864"/>
          <w:sz w:val="32"/>
        </w:rPr>
        <w:t>4.2  Research design: hybrid directed-inductive thematic analysis</w:t>
      </w:r>
    </w:p>
    <w:p>
      <w:pPr>
        <w:spacing w:line="336" w:lineRule="auto" w:after="160"/>
        <w:jc w:val="both"/>
      </w:pPr>
      <w:r>
        <w:rPr>
          <w:sz w:val="23"/>
        </w:rPr>
        <w:t>The case is studied as a single in-depth qualitative case under a hybrid directed-inductive thematic-analysis framework. Three features of the case made this configuration the right choice.</w:t>
      </w:r>
    </w:p>
    <w:p>
      <w:pPr>
        <w:spacing w:line="336" w:lineRule="auto" w:after="160"/>
        <w:jc w:val="both"/>
      </w:pPr>
      <w:r>
        <w:rPr>
          <w:sz w:val="23"/>
        </w:rPr>
        <w:t>First, the case is complex in Yin's (2018) sense. Multiple stakeholder positions interact across multiple institutional levels, and the regulatory architecture is itself part of the substantive matter being studied. Single-case in-depth designs are the methodological home of cases like this.</w:t>
      </w:r>
    </w:p>
    <w:p>
      <w:pPr>
        <w:spacing w:line="336" w:lineRule="auto" w:after="160"/>
        <w:jc w:val="both"/>
      </w:pPr>
      <w:r>
        <w:rPr>
          <w:sz w:val="23"/>
        </w:rPr>
        <w:t>Second, the case sits across several substantive frameworks (social licence to operate, procedural and recognition justice, extractive governance, transboundary aquifer law), and no single framework fully captures it. A hybrid methodology, one that combines theory-driven and empirically-emergent categories, fits a case shaped by more than one literature.</w:t>
      </w:r>
    </w:p>
    <w:p>
      <w:pPr>
        <w:spacing w:line="336" w:lineRule="auto" w:after="160"/>
        <w:jc w:val="both"/>
      </w:pPr>
      <w:r>
        <w:rPr>
          <w:sz w:val="23"/>
        </w:rPr>
        <w:t>Third, the case requires close attention to language: to how positions are framed, what is said directly, what is implied, and what is conspicuously absent. The thematic-analysis tradition is built for this kind of work.</w:t>
      </w:r>
    </w:p>
    <w:p>
      <w:pPr>
        <w:spacing w:line="336" w:lineRule="auto" w:after="160"/>
        <w:jc w:val="both"/>
      </w:pPr>
      <w:r>
        <w:rPr>
          <w:sz w:val="23"/>
        </w:rPr>
        <w:t>Thematic analysis, in Braun and Clarke's foundational article (2006) and their later monograph (2022), is a flexible methodology for identifying, analysing, and reporting patterns in qualitative material. It can be run in different epistemological registers, from realist to fully constructivist. The work here is contextualist: participants' accounts are treated as situated in the social, political, and material conditions Chapter 5 sets out, neither as transparent reports of fact nor as artefacts of the research encounter. Where the case has needed theory-generative coding (notably the six-position community typology of §6.4), Charmaz's (2014) constructivist grounded theory has carried the analytical load.</w:t>
      </w:r>
    </w:p>
    <w:p>
      <w:pPr>
        <w:spacing w:line="336" w:lineRule="auto" w:after="160"/>
        <w:jc w:val="both"/>
      </w:pPr>
      <w:r>
        <w:rPr>
          <w:sz w:val="23"/>
        </w:rPr>
        <w:t>The hybrid directed-inductive variant runs two simultaneous analytical streams. The directed stream pulls coding categories from established frameworks: Boutilier's (2014) four-level licence pyramid for the §6.7 synthesis; Moffat and Zhang's (2014) procedural-fairness model for analysis of the procedural record; the recognition-justice framework (Schlosberg, 2007; Whyte, 2011) for §6.4 and §6.6; the extractive-governance instruments (Bebbington and Bury, 2013; Levi-Faur, 2011) for Chapter 7. The inductive stream generates categories from the material itself, especially where the case produces patterns the frameworks did not anticipate: the four overlapping state parties of §6.3, the structurally absent affirmative grassroots voice in §6.6.5, and the corporate-services-nexus pattern at §6.2.7 and §6.7.4. Theory provides the scaffolding; the empirical record can still surprise it.</w:t>
      </w:r>
    </w:p>
    <w:p>
      <w:pPr>
        <w:spacing w:line="336" w:lineRule="auto" w:after="160"/>
        <w:jc w:val="both"/>
      </w:pPr>
      <w:r>
        <w:rPr>
          <w:sz w:val="23"/>
        </w:rPr>
        <w:t>Two commitments follow from the design. The analytical categories are explicit and traceable, so every claim Chapters 5 to 7 advance can be located against the specific evidence that supports it. And the analysis works at the level of pattern rather than distribution: this is a qualitative study, and its claims are about how the case is configured, not about how properties are distributed across a population. Both commitments are standard in the qualitative tradition (Patton, 2015; Lincoln and Guba, 1985).</w:t>
      </w:r>
    </w:p>
    <w:p>
      <w:pPr>
        <w:spacing w:before="360" w:after="120"/>
      </w:pPr>
      <w:r>
        <w:rPr>
          <w:b/>
          <w:color w:val="1F3864"/>
          <w:sz w:val="32"/>
        </w:rPr>
        <w:t>4.3  The four-channel evidentiary discipline</w:t>
      </w:r>
    </w:p>
    <w:p>
      <w:pPr>
        <w:spacing w:line="336" w:lineRule="auto" w:after="160"/>
        <w:jc w:val="both"/>
      </w:pPr>
      <w:r>
        <w:rPr>
          <w:sz w:val="23"/>
        </w:rPr>
        <w:t>The main operative instrument of the research design is what is called here the four-channel evidentiary discipline. In plain terms, it is a rule about which kind of claim each kind of evidence can support, and a rule that keeps the different kinds apart so the claims do not get muddled. It came out of a practical problem in the early design phase: how to handle, inside a single coherent analysis, four very different kinds of evidence the case throws up. Institutional position-taking in the public record. Aggregated community-level patterns from focus groups and the Village Council. Individual informed-observer accounts from key informants. And positions that should be in the record but are not. The methodological literature on mixed-evidence qualitative cases (Patton, 2015; Yin, 2018) gave general guidance on triangulation but, on the design phase's reading, did not provide the analytical structure this configuration demanded. The four-channel discipline is the working response. Figure 4.1 summarises it at a glance; the four channels and the rule that binds them together are set out in the paragraphs that follow.</w:t>
      </w:r>
    </w:p>
    <w:p>
      <w:pPr>
        <w:spacing w:before="200"/>
        <w:jc w:val="center"/>
      </w:pPr>
      <w:r>
        <w:drawing>
          <wp:inline xmlns:a="http://schemas.openxmlformats.org/drawingml/2006/main" xmlns:pic="http://schemas.openxmlformats.org/drawingml/2006/picture">
            <wp:extent cx="5943600" cy="3946887"/>
            <wp:docPr id="1" name="Picture 1"/>
            <wp:cNvGraphicFramePr>
              <a:graphicFrameLocks noChangeAspect="1"/>
            </wp:cNvGraphicFramePr>
            <a:graphic>
              <a:graphicData uri="http://schemas.openxmlformats.org/drawingml/2006/picture">
                <pic:pic>
                  <pic:nvPicPr>
                    <pic:cNvPr id="0" name="Figure_4_1_Four_Channel_Discipline.png"/>
                    <pic:cNvPicPr/>
                  </pic:nvPicPr>
                  <pic:blipFill>
                    <a:blip r:embed="rId12"/>
                    <a:stretch>
                      <a:fillRect/>
                    </a:stretch>
                  </pic:blipFill>
                  <pic:spPr>
                    <a:xfrm>
                      <a:off x="0" y="0"/>
                      <a:ext cx="5943600" cy="3946887"/>
                    </a:xfrm>
                    <a:prstGeom prst="rect"/>
                  </pic:spPr>
                </pic:pic>
              </a:graphicData>
            </a:graphic>
          </wp:inline>
        </w:drawing>
      </w:r>
    </w:p>
    <w:p>
      <w:pPr>
        <w:spacing w:after="240"/>
        <w:jc w:val="center"/>
      </w:pPr>
      <w:r>
        <w:rPr>
          <w:i/>
          <w:color w:val="595959"/>
          <w:sz w:val="20"/>
        </w:rPr>
        <w:t>Figure 4.1  The four-channel evidentiary discipline. Four kinds of evidence the case produces, each governed by its own rule, kept separate so the kind of claim each channel can support is explicit.</w:t>
      </w:r>
    </w:p>
    <w:p>
      <w:pPr>
        <w:spacing w:line="336" w:lineRule="auto" w:after="160"/>
        <w:jc w:val="both"/>
      </w:pPr>
      <w:r>
        <w:rPr>
          <w:sz w:val="23"/>
        </w:rPr>
        <w:t>Channel One is documented organisational evidence. Positions are ascribed to an organisation only on the strength of what that organisation has itself put on the public record: press releases, court filings, parliamentary submissions, ministerial correspondence, opinion pieces issued under the institution's name, formal policy positions, corporate communications, and the documented operational record. Where an individual associated with an organisation says something in personal capacity or in informal commentary, that statement is not the organisation's institutional position. Channel One produces the whole of Chapter 6 §6.2, with Sheet 6 of the annexed matrix as its audit trail.</w:t>
      </w:r>
    </w:p>
    <w:p>
      <w:pPr>
        <w:spacing w:line="336" w:lineRule="auto" w:after="160"/>
        <w:jc w:val="both"/>
      </w:pPr>
      <w:r>
        <w:rPr>
          <w:sz w:val="23"/>
        </w:rPr>
        <w:t>Channel Two is aggregated community evidence. Patterns of community-level position-taking are drawn from the six focus groups conducted in Aminuis and Leonardville (n=57) and from the Leonardville Village Council institutional interview. The rule here is that community positions are reported in the aggregate, as patterns across the focus-group record, and never as views ascribed to identified individuals. The aggregation respects each group's location, demographic composition, and internal patterns of agreement and disagreement. The channel produces the six-position typology in §6.4.</w:t>
      </w:r>
    </w:p>
    <w:p>
      <w:pPr>
        <w:spacing w:line="336" w:lineRule="auto" w:after="160"/>
        <w:jc w:val="both"/>
      </w:pPr>
      <w:r>
        <w:rPr>
          <w:sz w:val="23"/>
        </w:rPr>
        <w:t>Channel Three is individual informed-observer evidence. Accounts by key informants (technical, legal, regulatory, environmental-practitioner, civil-society, plus the Leonardville-area local resident) are treated as field-level interpretation, not as institutional position-taking. A Legal Assistance Centre informant who speaks to the researcher about procedural failings in the EIA process is not, under this discipline, committing the LAC as an organisation; the informant's account is informed reading of the field, and the LAC's institutional position (if any) comes separately under Channel One. The channel produces §6.5, which opens by flagging exactly this distinction.</w:t>
      </w:r>
    </w:p>
    <w:p>
      <w:pPr>
        <w:spacing w:line="336" w:lineRule="auto" w:after="160"/>
        <w:jc w:val="both"/>
      </w:pPr>
      <w:r>
        <w:rPr>
          <w:sz w:val="23"/>
        </w:rPr>
        <w:t>Channel Four is structural-absence evidence. Where the documented record does not contain a position that would be expected to be there, the absence itself counts as evidence. An absence is treated as structural only where presence would be analytically expected: that is, where the actor in question, given comparable cases or its own institutional standing, would ordinarily be expected to take a position on the matter and has not. Random silences are not structural absences. Channel Four produces §6.6 and its five categories of absent position: the governing-party absence, the downstream-state absences, the local-institutional absences, the opposition-party and organised-labour absences, and the absent organised affirmative grassroots voice.</w:t>
      </w:r>
    </w:p>
    <w:p>
      <w:pPr>
        <w:spacing w:line="336" w:lineRule="auto" w:after="160"/>
        <w:jc w:val="both"/>
      </w:pPr>
      <w:r>
        <w:rPr>
          <w:sz w:val="23"/>
        </w:rPr>
        <w:t>The purpose of separating the channels is to be honest about what each kind of evidence can do. A pattern across focus groups is not the same kind of claim as a press release from an EPL holder, and conflating the two would damage both. The other purpose is what the discipline does with absence. The qualitative-research traditions consolidated by Braun and Clarke (2006) and Charmaz (2014) treat absence as a coding move inside the analytical process; the four-channel discipline raises absence to a category in its own right, so that structural-absence findings (§6.6) sit alongside the documented-record findings (§6.2) within a single analytical structure.</w:t>
      </w:r>
    </w:p>
    <w:p>
      <w:pPr>
        <w:spacing w:before="360" w:after="120"/>
      </w:pPr>
      <w:r>
        <w:rPr>
          <w:b/>
          <w:color w:val="1F3864"/>
          <w:sz w:val="32"/>
        </w:rPr>
        <w:t>4.4  Sampling and recruitment</w:t>
      </w:r>
    </w:p>
    <w:p>
      <w:pPr>
        <w:spacing w:line="336" w:lineRule="auto" w:after="160"/>
        <w:jc w:val="both"/>
      </w:pPr>
      <w:r>
        <w:rPr>
          <w:sz w:val="23"/>
        </w:rPr>
        <w:t>Sampling was purposive, in the standard qualitative sense (Patton, 2015; Yin, 2018). Participants were chosen for their demonstrated knowledge of, engagement with, or position within the case's institutional and community landscape, not for any claim to statistical representativeness. The design is intensive rather than extensive: rich in depth, in the range of sources represented, and in the breadth of the field covered. It is not configured to support distributional inference at the population level.</w:t>
      </w:r>
    </w:p>
    <w:p>
      <w:pPr>
        <w:spacing w:line="336" w:lineRule="auto" w:after="160"/>
        <w:jc w:val="both"/>
      </w:pPr>
      <w:r>
        <w:rPr>
          <w:sz w:val="23"/>
        </w:rPr>
        <w:t>Three criteria guided the key informant interviews. The first was institutional or professional standing in the relevant field, covering technical authority (hydrogeology and scientific assessment), law (regulatory architecture, procedural justice), regulation (EIA architecture and licensing), environmental practice (operational EIA conduct), community leadership (affected-community engagement), and civil society (documented opposition and advocacy work). The second was geographical balance: informants whose perspectives are anchored in Aminuis, in Leonardville, and at the wider regional and national levels. The third was access: informants whose willingness to participate had been established through preliminary engagement.</w:t>
      </w:r>
    </w:p>
    <w:p>
      <w:pPr>
        <w:spacing w:line="336" w:lineRule="auto" w:after="160"/>
        <w:jc w:val="both"/>
      </w:pPr>
      <w:r>
        <w:rPr>
          <w:sz w:val="23"/>
        </w:rPr>
        <w:t>Focus-group recruitment followed a different pathway. The six groups were configured to cover the affected communities' position diversity along three structural axes. Geography: three groups in Aminuis, three in Leonardville. Demographic mix within each community: age, gender, livelihood. And engagement level with the case: long-term residents, recent in-migrants, community leadership, casual labour, and job-seekers. Recruitment ran through community gatekeepers (village councillors, traditional-authority representatives, community-based civil-society contacts), with attention to within-group composition so that productive discussion could develop. Total focus-group participation was 57, with group size between eight and twelve.</w:t>
      </w:r>
    </w:p>
    <w:p>
      <w:pPr>
        <w:spacing w:line="336" w:lineRule="auto" w:after="160"/>
        <w:jc w:val="both"/>
      </w:pPr>
      <w:r>
        <w:rPr>
          <w:sz w:val="23"/>
        </w:rPr>
        <w:t>The resulting 17-source primary corpus comprises: nine key informant interviews with named institutional or professional informants (the source-codes KII-Pallett, KII-vanWyk, KII-Bezuidenhout, KII-Schneider, KII-Klein, KII-Koujo, KII-UNESCO and others recur through Chapter 6); one institutional interview with the Leonardville Village Council (source-code KII-Council-LV), conducted as an institutional engagement with the Council rather than as an individual-informant interview; one interview with a Leonardville-area local resident whose perspective complemented the formal-informant set; and six community focus groups (source-codes FG-Aminuis-1 through FG-Aminuis-3 and FG-Leonardville-1 through FG-Leonardville-3) with 57 participants between them.</w:t>
      </w:r>
    </w:p>
    <w:p>
      <w:pPr>
        <w:spacing w:line="336" w:lineRule="auto" w:after="160"/>
        <w:jc w:val="both"/>
      </w:pPr>
      <w:r>
        <w:rPr>
          <w:sz w:val="23"/>
        </w:rPr>
        <w:t>Three sampling limits should be registered now. First, no Headspring Investments, Uranium One Group, or Rosatom representative was interviewed. The proponent was approached through Vanessa Bohitile, Headspring's Public Relations Officer, on 12 and 13 May 2026, with a request for an interview with a Headspring representative on the case's substantive matter. No interview dates were offered, and no proponent-side interview was subsequently arranged within the fieldwork period. The proponent's positions are accordingly documented from the open record under Channel One. Second, no fieldwork was conducted with the San population resident in Omaheke, whose presence in the Region is documented by Dirkx and Thiem (2014) and acknowledged at Chapter 2 §2.5. Third, no fieldwork was conducted in the downstream-state portions of the basin in Botswana and South Africa. All three limits are picked up in full at Chapter 7 §7.6.</w:t>
      </w:r>
    </w:p>
    <w:p>
      <w:pPr>
        <w:spacing w:before="360" w:after="120"/>
      </w:pPr>
      <w:r>
        <w:rPr>
          <w:b/>
          <w:color w:val="1F3864"/>
          <w:sz w:val="32"/>
        </w:rPr>
        <w:t>4.5  Fieldwork conduct</w:t>
      </w:r>
    </w:p>
    <w:p>
      <w:pPr>
        <w:spacing w:line="336" w:lineRule="auto" w:after="160"/>
        <w:jc w:val="both"/>
      </w:pPr>
      <w:r>
        <w:rPr>
          <w:sz w:val="23"/>
        </w:rPr>
        <w:t>Fieldwork ran across the first quarter of 2026, principally between January and March, in the affected communities and in Windhoek (where institutional informants were located). The key informant interviews were conducted in semi-structured format drawn from Kvale and Brinkmann (2015). An interview guide was developed for each informant category (technical-authority, legal-procedural, regulatory, environmental-practitioner, community-leadership, civil-society), sharing a common core of substantive questions on the case while leaving room for informant-specific lines of inquiry. Interviews averaged 75 to 90 minutes; the longer ones, with informants carrying institutional or technical depth, sometimes ran across two sessions.</w:t>
      </w:r>
    </w:p>
    <w:p>
      <w:pPr>
        <w:spacing w:line="336" w:lineRule="auto" w:after="160"/>
        <w:jc w:val="both"/>
      </w:pPr>
      <w:r>
        <w:rPr>
          <w:sz w:val="23"/>
        </w:rPr>
        <w:t>Focus groups were held in venues accessible to the communities themselves: community-centre halls in Leonardville, communal-area meeting spaces in Aminuis, and one Council-premises venue at the Leonardville Village Council. Each group ran approximately 90 to 120 minutes, facilitated by a single experienced moderator with one co-researcher present for note-taking. The discussion guide drew on the focus-group methodology consolidated by Morgan (1997) and Barbour (2007) and was structured to let agreement and disagreement surface inside the group without prematurely forcing consensus.</w:t>
      </w:r>
    </w:p>
    <w:p>
      <w:pPr>
        <w:spacing w:line="336" w:lineRule="auto" w:after="160"/>
        <w:jc w:val="both"/>
      </w:pPr>
      <w:r>
        <w:rPr>
          <w:sz w:val="23"/>
        </w:rPr>
        <w:t>Fieldwork was conducted in Otjiherero, Afrikaans, and English, depending on participants and venue. The key informant interviews were conducted predominantly in English, reflecting the informants' professional and institutional standing. The Leonardville Village Council interview was conducted in English with Afrikaans interjections. The Aminuis focus groups were conducted predominantly in Otjiherero with English interpretation. The Leonardville focus groups were conducted in a mixed Afrikaans, English, and Otjiherero register reflecting the community's linguistic diversity. Where interpretation was required, qualified interpreters with qualitative-research experience were engaged.</w:t>
      </w:r>
    </w:p>
    <w:p>
      <w:pPr>
        <w:spacing w:line="336" w:lineRule="auto" w:after="160"/>
        <w:jc w:val="both"/>
      </w:pPr>
      <w:r>
        <w:rPr>
          <w:sz w:val="23"/>
        </w:rPr>
        <w:t>All interviews and focus groups were recorded with participants' informed consent, then transcribed and, where necessary, translated. Transcription depth was matched to the analytical work: full verbatim transcription for the key informant interviews and the Village Council interview, where language detail mattered analytically; condensed but complete transcription for the focus groups, where patterns of position and group dynamics were the principal analytical object. The complete transcribed corpus was assembled into an analytical-ready format that preserved attribution and context information while removing identifying details where the ethical framework required anonymisation.</w:t>
      </w:r>
    </w:p>
    <w:p>
      <w:pPr>
        <w:spacing w:before="360" w:after="120"/>
      </w:pPr>
      <w:r>
        <w:rPr>
          <w:b/>
          <w:color w:val="1F3864"/>
          <w:sz w:val="32"/>
        </w:rPr>
        <w:t>4.6  Documentary methodology</w:t>
      </w:r>
    </w:p>
    <w:p>
      <w:pPr>
        <w:spacing w:line="336" w:lineRule="auto" w:after="160"/>
        <w:jc w:val="both"/>
      </w:pPr>
      <w:r>
        <w:rPr>
          <w:sz w:val="23"/>
        </w:rPr>
        <w:t>Alongside the primary qualitative material, the case work draws extensively on a documentary corpus assembled through a structured open-record search covering the period from 2020 (when the Headspring permits were first issued in their currently operative form) through to the May 2026 documentation cut-off. The documentary methodology produced the analytical foundation for Chapter 6 §6.2 (documented organisational positions) and supports the analytical work across Chapters 2, 6, and 7.</w:t>
      </w:r>
    </w:p>
    <w:p>
      <w:pPr>
        <w:spacing w:line="336" w:lineRule="auto" w:after="160"/>
        <w:jc w:val="both"/>
      </w:pPr>
      <w:r>
        <w:rPr>
          <w:sz w:val="23"/>
        </w:rPr>
        <w:t>The search ran across four source categories. Documented institutional positions: press releases, parliamentary submissions, ministerial correspondence, court filings, opinion pieces, formal policy positions, and corporate communications issued by identifiable institutions with operative standing in the case. Documented media: the Namibian national press (The Namibian, New Era, Namibian Sun), the specialist environmental and EIA press (Conservation Namibia, EIA Insights, Observer24, Informanté), international investigative reporting (Al Jazeera, Daily Maverick), and the specialist mining and uranium media (WISE Uranium Project, The Extractor Magazine, World Nuclear News). Documented regulatory material: the MAWLR 2021 Compliance Monitoring Feedback Report, the MME licence-contact register (MME, 2025), the Parliamentary Standing Committee on Natural Resources' 2025 report, the Cabinet's documented public communications, and the EIA Tracker and Office of the Environmental Commissioner's documented decisions. Documented intergovernmental and technical-authority material: the UNESCO and IGRAC GGRETA Phase 1 report and subsequent material, the IGRAC 2024 basin-wide briefing, the ORASECOM Strategic Action Plan and position statements, Miller (2022) on the basin's hydrogeology, Joel (2014), and the IAEA RAF/8/029 report.</w:t>
      </w:r>
    </w:p>
    <w:p>
      <w:pPr>
        <w:spacing w:line="336" w:lineRule="auto" w:after="160"/>
        <w:jc w:val="both"/>
      </w:pPr>
      <w:r>
        <w:rPr>
          <w:sz w:val="23"/>
        </w:rPr>
        <w:t>The corpus was triangulated across sources to establish what the documented record substantively supports. Where a claim about an institution's position appeared in only one source, further sources were sought to corroborate it. Where corroboration could not be achieved, the position was either reported with explicit single-source attribution or set aside as inadequately documented for inclusion in §6.2. The procedure is consistent with the case-study tradition Yin (2018) develops and is the working quality-control instrument for the documentary corpus.</w:t>
      </w:r>
    </w:p>
    <w:p>
      <w:pPr>
        <w:spacing w:line="336" w:lineRule="auto" w:after="160"/>
        <w:jc w:val="both"/>
      </w:pPr>
      <w:r>
        <w:rPr>
          <w:sz w:val="23"/>
        </w:rPr>
        <w:t>A distinct corporate-attribution discipline sits inside the documentary methodology. It addresses a specific evidentiary problem: the basin-area EPL programme involves multiple separately-incorporated Namibian companies (Headspring Investments, Green Mining, Uraplant Mining, the Sun Investments group, Zoya Holdings, Codebreak Investments, and smaller licence-holders) whose corporate-ownership and beneficial-ownership relationships are not transparent on the open record. The discipline, set out at §6.2.1 and applied throughout Chapters 6 and 7, is straightforward in its rules. Corporate identifications are made only where the open record substantively supports them. Corroborated identifications (Headspring as the Namibian subsidiary of the Rosatom-controlled Uranium One Group, on convergent evidence from Al Jazeera, the WISE Uranium Project, the MME licence-contact register, and the MAWLR 2021 Feedback Report) are reported with confidence. Contested identifications (the Russian-corporate-affiliation claims around Green Mining and Uraplant Mining) are reported in their contested form with the evidentiary state explicitly acknowledged. Corporate-services-nexus findings (§6.7.4) are reported descriptively, without resolving the beneficial-ownership question the nexus pattern raises.</w:t>
      </w:r>
    </w:p>
    <w:p>
      <w:pPr>
        <w:spacing w:line="336" w:lineRule="auto" w:after="160"/>
        <w:jc w:val="both"/>
      </w:pPr>
      <w:r>
        <w:rPr>
          <w:sz w:val="23"/>
        </w:rPr>
        <w:t>The consolidated documentary corpus is recorded in Sheet 6 of the analytical matrix annexed to the report, which contains 50 documented organisational-position entries covering the four source categories and the period 2020 to 2026. Sheet 6 doubles as the documentary methodology's audit trail and as the operative reference for §6.2.</w:t>
      </w:r>
    </w:p>
    <w:p>
      <w:pPr>
        <w:spacing w:before="360" w:after="120"/>
      </w:pPr>
      <w:r>
        <w:rPr>
          <w:b/>
          <w:color w:val="1F3864"/>
          <w:sz w:val="32"/>
        </w:rPr>
        <w:t>4.7  Analysis: codebook and analytical procedure</w:t>
      </w:r>
    </w:p>
    <w:p>
      <w:pPr>
        <w:spacing w:line="336" w:lineRule="auto" w:after="160"/>
        <w:jc w:val="both"/>
      </w:pPr>
      <w:r>
        <w:rPr>
          <w:sz w:val="23"/>
        </w:rPr>
        <w:t>The analysis proceeded in four stages under Braun and Clarke's (2006, 2022) thematic-analysis framework in its directed-inductive hybrid form. Stage one was familiarisation: complete reading of all transcribed interview and focus-group material alongside the consolidated documentary corpus, with analytical memos recording emerging patterns. Stage two was initial coding, conducted at line-and-paragraph level across the primary corpus and at unit-of-analysis level (typically a paragraph or section of an institutional document) across the documentary corpus. Both directed codes (drawn from the theoretical frameworks Chapter 3 reviewed: Boutilier's pyramid, the procedural-fairness model, the recognition-justice framework, the extractive-governance instruments) and inductive codes (emerging from the material) were applied. Stage three was focused coding: collation of initial codes into provisional themes and the working through of theme-to-theme relationships. Stage four was theme integration and presentation: building out the analytical chapters' structure, with theme integration shaped by the four-channel evidentiary discipline §4.3 sets out.</w:t>
      </w:r>
    </w:p>
    <w:p>
      <w:pPr>
        <w:spacing w:line="336" w:lineRule="auto" w:after="160"/>
        <w:jc w:val="both"/>
      </w:pPr>
      <w:r>
        <w:rPr>
          <w:sz w:val="23"/>
        </w:rPr>
        <w:t>The directed-inductive codebook ran at three levels. The highest-level codes corresponded to the substantive analytical frameworks: procedural-fairness conditions; recognition-justice claims; the structural conditions of legitimacy (the recurring background conditions that shape whether the project is judged legitimate or not, set out fully in Chapter 5: information environment, trust environment, political economy of openness, non-substitutable resource, place attachment, and the Aminuis-Leonardville gradient); and the four channels of evidence themselves (documented organisational, aggregated community, individual informed-observer, structural absence). Mid-level codes corresponded to substantive case categories: the four overlapping state parties, the six community positions, the EPL landscape, the corporate-attribution discipline. Low-level codes corresponded to specific empirical content: particular procedural events (the 2021 permit withdrawal, the 2024 Schlettwein statement, the 2025 Standing Committee report) and particular community themes (water as non-substitutable, the 'we are scared but we want jobs' formulation, the Aminuis-Leonardville gradient).</w:t>
      </w:r>
    </w:p>
    <w:p>
      <w:pPr>
        <w:spacing w:line="336" w:lineRule="auto" w:after="160"/>
        <w:jc w:val="both"/>
      </w:pPr>
      <w:r>
        <w:rPr>
          <w:sz w:val="23"/>
        </w:rPr>
        <w:t>Validation procedures were operative throughout. Peer debriefing with the broader research team provided ongoing checks on analytical interpretations and theme development. Triangulation across the four evidentiary channels (the discipline §4.3 sets out) was the principal quality-control mechanism for analytical claims: a finding supported by only one channel was either restated with explicit single-channel attribution or reconsidered. Structural-absence checks were conducted systematically: where a position would, on the case's institutional landscape, ordinarily have been expected to be registered, the absence was traced and documented. The trustworthiness framework Lincoln and Guba (1985) developed in Naturalistic Inquiry informed the validation work.</w:t>
      </w:r>
    </w:p>
    <w:p>
      <w:pPr>
        <w:spacing w:before="360" w:after="120"/>
      </w:pPr>
      <w:r>
        <w:rPr>
          <w:b/>
          <w:color w:val="1F3864"/>
          <w:sz w:val="32"/>
        </w:rPr>
        <w:t>4.8  Ethics</w:t>
      </w:r>
    </w:p>
    <w:p>
      <w:pPr>
        <w:spacing w:line="336" w:lineRule="auto" w:after="160"/>
        <w:jc w:val="both"/>
      </w:pPr>
      <w:r>
        <w:rPr>
          <w:sz w:val="23"/>
        </w:rPr>
        <w:t>The research operated under a standard qualitative-research-ethics framework appropriate to author-initiated policy-relevant qualitative work conducted under independent-research funding. No formal Institutional Review Board (IRB) clearance was sought; the work proceeded under the operative consent and confidentiality arrangements described in this section, which are consistent with established professional research practice for qualitative engagements of this kind in the Namibian jurisdiction.</w:t>
      </w:r>
    </w:p>
    <w:p>
      <w:pPr>
        <w:spacing w:line="336" w:lineRule="auto" w:after="160"/>
        <w:jc w:val="both"/>
      </w:pPr>
      <w:r>
        <w:rPr>
          <w:sz w:val="23"/>
        </w:rPr>
        <w:t>Informed consent was obtained from all key informants and focus-group participants. The consent process explained the research's purpose, the funding organisation (FES Namibia, which funded the study following the author's funding proposal), the conducting consultancy (Cirrus Survey Warehouse), the expected use of the material in the report, the participant's right to withdraw at any point, the recording arrangements, and the confidentiality and anonymisation arrangements that would apply. Written consent was obtained for the key informant interviews and the Village Council interview. Verbal consent was obtained for focus-group participation, with the consent process run at the start of each focus group in the language appropriate to the group.</w:t>
      </w:r>
    </w:p>
    <w:p>
      <w:pPr>
        <w:spacing w:line="336" w:lineRule="auto" w:after="160"/>
        <w:jc w:val="both"/>
      </w:pPr>
      <w:r>
        <w:rPr>
          <w:sz w:val="23"/>
        </w:rPr>
        <w:t>Confidentiality and data-protection arrangements differ between the key informant and focus-group corpora. Key informants were given the choice between named attribution and anonymous attribution; the resulting corpus carries some informants under their professional names (where they chose to be named) and others under source-codes that protect their identity. The Leonardville Village Council interview is carried under the institutional attribution KII-Council-LV. Focus-group participants are not individually identified at any point in the report: focus-group material is reported at the aggregated-community level (§6.4) and under the focus-group source-codes (FG-Aminuis-1 through FG-Aminuis-3, and FG-Leonardville-1 through FG-Leonardville-3) without individual-participant attribution. The transcribed and translated corpus is held securely by the conducting consultancy and is not made publicly available.</w:t>
      </w:r>
    </w:p>
    <w:p>
      <w:pPr>
        <w:spacing w:line="336" w:lineRule="auto" w:after="160"/>
        <w:jc w:val="both"/>
      </w:pPr>
      <w:r>
        <w:rPr>
          <w:sz w:val="23"/>
        </w:rPr>
        <w:t>Vulnerability considerations for the affected communities shaped the design. The communities in Aminuis and Leonardville include participants whose engagement with the case may carry social, economic, or political costs in their local context, particularly job-seekers in Leonardville whose anticipated employment is tied to the project and community-leadership figures whose positions on the case place them in the field of public contestation. The design responded in three ways. It maintained strict focus-group-level anonymisation. It avoided lines of questioning that would have required participants to align themselves publicly with controversial positions. And it constructed focus groups whose composition allowed productive discussion without forcing minority positions into exposed visibility.</w:t>
      </w:r>
    </w:p>
    <w:p>
      <w:pPr>
        <w:spacing w:before="360" w:after="120"/>
      </w:pPr>
      <w:r>
        <w:rPr>
          <w:b/>
          <w:color w:val="1F3864"/>
          <w:sz w:val="32"/>
        </w:rPr>
        <w:t>4.9  Reflexivity and positionality</w:t>
      </w:r>
    </w:p>
    <w:p>
      <w:pPr>
        <w:spacing w:line="336" w:lineRule="auto" w:after="160"/>
        <w:jc w:val="both"/>
      </w:pPr>
      <w:r>
        <w:rPr>
          <w:sz w:val="23"/>
        </w:rPr>
        <w:t>The research was initiated by the author, Christie Keulder of Cirrus Survey Warehouse (Namibia). The author approached Friedrich Ebert Stiftung (FES) Namibia with a funding proposal, and FES Namibia funded the study on the basis of that proposal. The author has no commercial relationship with the proponent (Headspring Investments), with the proponent's corporate parent (the Rosatom-controlled Uranium One Group), or with the Namibian regulatory bodies referenced in the report. The author has, in earlier professional work, engaged with several of the civil-society organisations whose institutional positions Chapter 6 §6.2 documents. Those engagements were conducted on the basis of standard professional-research relationships and do not bear on the present analytical work's independence.</w:t>
      </w:r>
    </w:p>
    <w:p>
      <w:pPr>
        <w:spacing w:line="336" w:lineRule="auto" w:after="160"/>
        <w:jc w:val="both"/>
      </w:pPr>
      <w:r>
        <w:rPr>
          <w:sz w:val="23"/>
        </w:rPr>
        <w:t>The full funding-and-author disclosure is set out at §1.7 and is not duplicated here. For the reflexive purposes of this section, the operative point is that the funding is author-initiated and that the analytical framing, methodology, findings, and conclusions are the author's. The author's analytical perspective is therefore independent of, though informed by, the funding context in which the study was conducted.</w:t>
      </w:r>
    </w:p>
    <w:p>
      <w:pPr>
        <w:spacing w:line="336" w:lineRule="auto" w:after="160"/>
        <w:jc w:val="both"/>
      </w:pPr>
      <w:r>
        <w:rPr>
          <w:sz w:val="23"/>
        </w:rPr>
        <w:t>Two further dimensions of the author's positionality warrant brief registration. The author's epistemic standing toward the case is shaped by a longer professional background in Namibian political and policy research and by familiarity with the country's civil-society ecosystem. That background informs the analytical framing the chapters develop but does not, on the author's reflexive judgement, compromise the disciplined separation between informant engagement and institutional position-documentation that the four channels are designed to maintain. And the author's location within the Namibian research community means that several of the documented-opposition civil-society organisations whose institutional positions §6.2 records are professional acquaintances; those relationships have been managed through the same professional-research separation.</w:t>
      </w:r>
    </w:p>
    <w:p>
      <w:pPr>
        <w:spacing w:before="360" w:after="120"/>
      </w:pPr>
      <w:r>
        <w:rPr>
          <w:b/>
          <w:color w:val="1F3864"/>
          <w:sz w:val="32"/>
        </w:rPr>
        <w:t>4.10  Limitations: a preview of §7.6</w:t>
      </w:r>
    </w:p>
    <w:p>
      <w:pPr>
        <w:spacing w:line="336" w:lineRule="auto" w:after="160"/>
        <w:jc w:val="both"/>
      </w:pPr>
      <w:r>
        <w:rPr>
          <w:sz w:val="23"/>
        </w:rPr>
        <w:t>Six analytical limits of the present study are named at Chapter 7 §7.6 and developed there in full. They are previewed briefly here so that the methodology chapter closes with explicit registration of what the design has not been positioned to do. The corporate-ownership transparency limit: the open record does not, for the non-Headspring EPL holders documented in §6.2.7, support beneficial-ownership identification at the EITI Standard level. The proponent-engagement limit: no Headspring, Uranium One Group, or Rosatom representative was interviewed; the proponent's positions are documented from the open record under Channel One. The downstream-state and intra-regional fieldwork limit: no fieldwork was conducted in the Botswana and South Africa portions of the basin, and no San-specific fieldwork was conducted in Omaheke. The hydrogeological-assessment limit: the report does not undertake a hydrogeological assessment of its own, which lies beyond the qualitative social-research remit. The moving-target limit: the case continues to develop after the May 2026 documentation cut-off. The wider-survey limit: the research design is intensive rather than extensive, and the corpus is not configured to support distributional inference at the basin-population scale.</w:t>
      </w:r>
    </w:p>
    <w:p>
      <w:pPr>
        <w:spacing w:line="336" w:lineRule="auto" w:after="160"/>
        <w:jc w:val="both"/>
      </w:pPr>
      <w:r>
        <w:rPr>
          <w:sz w:val="23"/>
        </w:rPr>
        <w:t>Each of the six limits is presented at §7.6 as defensible openness rather than as a defect of the work undertaken. The methodological choices were calibrated to the case's analytical requirements and to the fieldwork's resource and access conditions. The limits structure the openings for further work that any follow-on study should address.</w:t>
      </w:r>
    </w:p>
    <w:p>
      <w:pPr>
        <w:spacing w:before="360" w:after="120"/>
      </w:pPr>
      <w:r>
        <w:rPr>
          <w:b/>
          <w:color w:val="1F3864"/>
          <w:sz w:val="32"/>
        </w:rPr>
        <w:t>4.11  Conclusion</w:t>
      </w:r>
    </w:p>
    <w:p>
      <w:pPr>
        <w:spacing w:line="336" w:lineRule="auto" w:after="160"/>
        <w:jc w:val="both"/>
      </w:pPr>
      <w:r>
        <w:rPr>
          <w:sz w:val="23"/>
        </w:rPr>
        <w:t>The chapter has set out the methodology through which the case work of Chapters 5 to 8 has been conducted. The research design is a single-case in-depth qualitative study under a hybrid directed-inductive thematic-analysis methodology (§4.2), conducted under the four-channel evidentiary discipline (§4.3) that structures Chapter 6's analytical presentation. The 17-source primary corpus (§4.4) comprises nine key informant interviews, one Village Council institutional interview, one Leonardville-area local-resident interview, and six community focus groups with 57 participants. The fieldwork ran across the first quarter of 2026 in the affected communities and in Windhoek (§4.5). The primary corpus is complemented by a structured documentary corpus covering the period 2020 to 2026, governed by the corporate-attribution discipline (§4.6). The analytical procedure unfolded in four stages under the thematic-analysis framework (§4.7); the ethical framework operated under standard qualitative-research-ethics arrangements with informed consent, confidentiality, and vulnerability considerations specified (§4.8); and a short positionality statement (§4.9) and limitations preview (§4.10) close the chapter's account of the research design.</w:t>
      </w:r>
    </w:p>
    <w:p>
      <w:pPr>
        <w:spacing w:line="336" w:lineRule="auto" w:after="160"/>
        <w:jc w:val="both"/>
      </w:pPr>
      <w:r>
        <w:rPr>
          <w:sz w:val="23"/>
        </w:rPr>
        <w:t>Chapter 5 turns from methodology to case work. The structural-conditions analysis Chapter 5 develops draws principally on the focus-group and key informant corpus and on the secondary literature on the affected communities' structural context. The documented organisational positions (Chapter 6 §6.2) draw principally on the documentary corpus §4.6 has set out. The four-channel discipline the present chapter has specified is the methodological scaffolding within which the analytical work that follows operates.</w:t>
      </w:r>
    </w:p>
    <w:p>
      <w:r>
        <w:br w:type="page"/>
      </w:r>
    </w:p>
    <w:p>
      <w:pPr>
        <w:jc w:val="left"/>
      </w:pPr>
      <w:r>
        <w:rPr>
          <w:rFonts w:ascii="Calibri" w:hAnsi="Calibri"/>
          <w:b/>
          <w:i w:val="0"/>
          <w:color w:val="1F3864"/>
          <w:sz w:val="18"/>
        </w:rPr>
        <w:t>WORKING DRAFT - CHAPTER 5</w:t>
      </w:r>
    </w:p>
    <w:p>
      <w:pPr>
        <w:spacing w:before="280" w:after="120"/>
      </w:pPr>
      <w:r>
        <w:rPr>
          <w:rFonts w:ascii="Calibri" w:hAnsi="Calibri"/>
          <w:b/>
          <w:i w:val="0"/>
          <w:color w:val="1F3864"/>
          <w:sz w:val="36"/>
        </w:rPr>
        <w:t>Chapter 5</w:t>
      </w:r>
    </w:p>
    <w:p>
      <w:pPr>
        <w:spacing w:before="200" w:after="120"/>
      </w:pPr>
      <w:r>
        <w:rPr>
          <w:rFonts w:ascii="Calibri" w:hAnsi="Calibri"/>
          <w:b/>
          <w:i w:val="0"/>
          <w:color w:val="1F3864"/>
          <w:sz w:val="28"/>
        </w:rPr>
        <w:t>The Structural Conditions of Legitimacy</w:t>
      </w:r>
    </w:p>
    <w:p>
      <w:pPr>
        <w:pBdr>
          <w:bottom w:val="single" w:sz="6" w:space="1" w:color="1F3864"/>
        </w:pBdr>
      </w:pPr>
    </w:p>
    <w:p>
      <w:pPr>
        <w:spacing w:before="160" w:after="80"/>
      </w:pPr>
      <w:r>
        <w:rPr>
          <w:rFonts w:ascii="Calibri" w:hAnsi="Calibri"/>
          <w:b/>
          <w:i/>
          <w:color w:val="1F3864"/>
          <w:sz w:val="22"/>
        </w:rPr>
        <w:t>Chapter abstract.</w:t>
      </w:r>
      <w:r>
        <w:rPr>
          <w:rFonts w:ascii="Calibri" w:hAnsi="Calibri"/>
          <w:b w:val="0"/>
          <w:i/>
          <w:sz w:val="22"/>
        </w:rPr>
        <w:t xml:space="preserve"> This chapter sets out the conditions under which any social licence to operate for the proposed Headspring Investments and Uranium One Group in-situ recovery uranium project would have to be negotiated. Those conditions are the recurring background features of the affected communities and the regulatory environment that shape whether the project can credibly be judged legitimate or not. The argument draws on seventeen sources: six focus groups across Aminuis and Leonardville (n=57 participants), nine stakeholder key informant interviews, an institutional interview with the Leonardville Village Council, and a local-stakeholder interview with a Leonardville-area resident. The chapter is organised by theme, not by source-type. Six structural conditions are documented in turn: the information environment, the trust environment, poverty and service deficits, water as a non-substitutable resource, place attachment, and the gradient between Aminuis and Leonardville. Together they form the legitimacy environment in which any subsequent positional or recommendation analysis has to begin.</w:t>
      </w:r>
    </w:p>
    <w:p>
      <w:pPr>
        <w:pBdr>
          <w:bottom w:val="single" w:sz="6" w:space="1" w:color="1F3864"/>
        </w:pBdr>
      </w:pPr>
    </w:p>
    <w:p>
      <w:pPr>
        <w:spacing w:before="200" w:after="120"/>
      </w:pPr>
      <w:r>
        <w:rPr>
          <w:rFonts w:ascii="Calibri" w:hAnsi="Calibri"/>
          <w:b/>
          <w:i w:val="0"/>
          <w:color w:val="2E5395"/>
          <w:sz w:val="24"/>
        </w:rPr>
        <w:t>Recap of the conceptual framework</w:t>
      </w:r>
    </w:p>
    <w:p>
      <w:pPr>
        <w:spacing w:before="40" w:after="160" w:line="300" w:lineRule="auto"/>
      </w:pPr>
      <w:r>
        <w:rPr>
          <w:rFonts w:ascii="Calibri" w:hAnsi="Calibri"/>
          <w:b w:val="0"/>
          <w:i w:val="0"/>
          <w:sz w:val="22"/>
        </w:rPr>
        <w:t>Chapter 3 advanced the proposition that the international social licence to operate (SLO) literature, taken together with adjacent scholarship on risk governance, environmental justice, and extractive politics in African contexts, identifies a set of conditions that act as structural intensifiers of legitimacy demands. Six are particularly consequential for the present case. The first is the trust trajectory established through early-stage operator behaviour, which Lacey and Lamont (2014) and the broader procedural-justice literature have shown to update asymmetrically and to recover with difficulty once it has deteriorated. The second is the rhetorical politics of legitimacy and state-proponent alignment (Bice, 2014; Owen and Kemp, 2013; Ehrnström-Fuentes, 2016), which shapes how dissent is positioned in the public sphere. The third is the non-substitutability of resources affected by extractive activity, particularly water (Conde and Le Billon, 2017; Sosa and Zwarteveen, 2012). The fourth is the regulatory specificity required by the technology in question, in this case in-situ recovery uranium mining (IAEA, 2016; OECD/NEA and IAEA, 2024). The fifth is the quality of recognition extended to customary authorities and other affected groups (Schlosberg, 2007; Mnwana, 2015). The sixth is the institutional separation between regulators and proponents, which becomes harder to sustain where the proponent is a state-owned investor with direct political backing in the host country (Carmody, 2016; Kirsch, 2014).</w:t>
      </w:r>
    </w:p>
    <w:p>
      <w:pPr>
        <w:spacing w:before="40" w:after="160" w:line="300" w:lineRule="auto"/>
      </w:pPr>
      <w:r>
        <w:rPr>
          <w:rFonts w:ascii="Calibri" w:hAnsi="Calibri"/>
          <w:b w:val="0"/>
          <w:i w:val="0"/>
          <w:sz w:val="22"/>
        </w:rPr>
        <w:t>The cumulative argument was that where these conditions converge unfavourably, conventional engagement strategies (additional consultation, expanded community development funds, intensified information campaigns) are unlikely to produce social legitimacy. The present chapter does not yet engage that argument in its analytical form; Chapter 7 takes that work up. What this chapter does is establish, from the empirical material, the structural conditions that the conceptual framework identifies as most consequential. The reasoning is sequential. Before one can analyse stakeholder positions (Chapter 6) or examine their relationship to the international literature (Chapter 7), one must first establish what the conditions of the legitimacy environment actually are.</w:t>
      </w:r>
    </w:p>
    <w:p>
      <w:pPr>
        <w:spacing w:before="200" w:after="120"/>
      </w:pPr>
      <w:r>
        <w:rPr>
          <w:rFonts w:ascii="Calibri" w:hAnsi="Calibri"/>
          <w:b/>
          <w:i w:val="0"/>
          <w:color w:val="1F3864"/>
          <w:sz w:val="28"/>
        </w:rPr>
        <w:t>5.1  Introduction</w:t>
      </w:r>
    </w:p>
    <w:p>
      <w:pPr>
        <w:spacing w:before="40" w:after="160" w:line="300" w:lineRule="auto"/>
      </w:pPr>
      <w:r>
        <w:rPr>
          <w:rFonts w:ascii="Calibri" w:hAnsi="Calibri"/>
          <w:b w:val="0"/>
          <w:i w:val="0"/>
          <w:sz w:val="22"/>
        </w:rPr>
        <w:t>The conceptual framework developed in Chapter 3 identified six structural conditions whose convergence is associated with the most demanding legitimacy environments for extractive projects internationally. The Phase 1 farmer survey and the documentary record established in Chapter 2 strongly suggested that each of these conditions obtains in the present case in some form (Keulder, 2026c; MAWLR, 2021; Parliamentary Standing Committee on Natural Resources, 2025). What the documentary record cannot establish is how these conditions are actually experienced, articulated, and contested by the stakeholders within them. That is the question to which this chapter is addressed.</w:t>
      </w:r>
    </w:p>
    <w:p>
      <w:pPr>
        <w:spacing w:before="40" w:after="160" w:line="300" w:lineRule="auto"/>
      </w:pPr>
      <w:r>
        <w:rPr>
          <w:rFonts w:ascii="Calibri" w:hAnsi="Calibri"/>
          <w:b w:val="0"/>
          <w:i w:val="0"/>
          <w:sz w:val="22"/>
        </w:rPr>
        <w:t>A note on what this chapter is not. It is not a community chapter, and it is not an expert chapter. The qualitative corpus described in Chapter 4 contains seventeen sources of three principal types: six focus group discussions (n=57 participants); nine stakeholder key informant interviews of varying institutional character; the institutional interview with the Leonardville Village Council; and the local-stakeholder interview with a Leonardville-area resident. These sources differ in the type of evidence they generate, but they do not divide cleanly into 'what communities think' and 'what experts know'. Chapter 4 sets out the evidence-quality classification under which different sources contribute differently to the analysis: focus group evidence is treated as evidence of perception, lived experience, and trust dynamics; technical and legal key-informant evidence is treated as expert judgement requiring triangulation against scientific and documentary sources; institutional evidence is treated as knowledge-governance evidence. The classification operates within this chapter, not as a structural division between chapters.</w:t>
      </w:r>
    </w:p>
    <w:p>
      <w:pPr>
        <w:spacing w:before="40" w:after="160" w:line="300" w:lineRule="auto"/>
      </w:pPr>
      <w:r>
        <w:rPr>
          <w:rFonts w:ascii="Calibri" w:hAnsi="Calibri"/>
          <w:b w:val="0"/>
          <w:i w:val="0"/>
          <w:sz w:val="22"/>
        </w:rPr>
        <w:t>The choice is deliberate. One of the dynamics the conceptual framework identified as constitutive of legitimacy contests in extractive industries is a rhetorical asymmetry through which proponent narratives are positioned as 'rational, scientific, developmental' and critic narratives, particularly community ones, as 'emotional, irrational, self-interested' (Bice, 2014; Bice, Brueckner and Pforr, 2017). A chapter structure that placed community evidence on one side of the analytical line and stakeholder evidence on the other would reproduce that asymmetry in the spine of the report. The structure adopted here treats source-type as evidentiary texture within each thematic section. Where a community focus group's account of consultation converges with a sectoral expert's account of consultation, that convergence is registered directly, in the same paragraph. Where it diverges, the divergence is examined on its merits, not attributed to the source-type from which it emerged. The empirical claim that emerges from the chapter (that distrust in this case is multi-directional rather than bilateral, and that hope and fear are distributed across the corpus in patterns that do not respect a lay/expert axis) could not be made if the chapter were organised by source-type, because the structure would already have foreclosed it.</w:t>
      </w:r>
    </w:p>
    <w:p>
      <w:pPr>
        <w:spacing w:before="40" w:after="160" w:line="300" w:lineRule="auto"/>
      </w:pPr>
      <w:r>
        <w:rPr>
          <w:rFonts w:ascii="Calibri" w:hAnsi="Calibri"/>
          <w:b w:val="0"/>
          <w:i w:val="0"/>
          <w:sz w:val="22"/>
        </w:rPr>
        <w:t>Six substantive sections follow. Section 5.2 documents the information environment around the project: what stakeholders know about it, how they came to know it, and what they recognise as missing. Section 5.3 examines the trust environment, arguing that distrust in this case operates across at least seven directions rather than two, extending to the proponent, the parliamentary process, the relevant ministries, scientific data, the licensing and consultation processes, local political and patronage networks, and the legal recourse and remedy mechanisms. Section 5.4 places these conditions inside the political economy of severe unemployment, weak service delivery, and chronic development deficit, and examines how poverty shapes the conditions under which any project's promises are received. Section 5.5 turns to water as a non-substitutable resource, documenting the depth of dependence and the analytical work that dependence does in shaping how the project is interpreted across the corpus. Section 5.6 examines place attachment and the structural unavailability of relocation as a coping strategy. Section 5.7 draws the preceding analysis together by examining the gradient between Aminuis and Leonardville, not as evidence of two distinct community positions, but as evidence that the same structural conditions produce different surface effects across geographies that differ in their proximity to the project's direct activity and in the density of information available to them. Section 5.8 closes the chapter by summarising the layered legitimacy environment that any subsequent positional or recommendation analysis has to take as its starting point.</w:t>
      </w:r>
    </w:p>
    <w:p>
      <w:pPr>
        <w:spacing w:before="40" w:after="160" w:line="300" w:lineRule="auto"/>
      </w:pPr>
      <w:r>
        <w:rPr>
          <w:rFonts w:ascii="Calibri" w:hAnsi="Calibri"/>
          <w:b w:val="0"/>
          <w:i w:val="0"/>
          <w:sz w:val="22"/>
        </w:rPr>
        <w:t>A note on quotation practice is in order. Direct quotations are used throughout the chapter, but their evidentiary weight varies by source in line with section 4.10 of the methodology. Quotations from named stakeholder interviews are treated as direct evidence of the interviewee's articulated position, subject to the source-quality flags identified in the methodology chapter. Quotations from focus group discussions are treated as edited transcript excerpts in line with the transcript-preparation philosophy described in section 4.10, and are used to illustrate patterns of community reasoning rather than to attribute verbatim positions to specific individuals. Sensitive material, particularly from the Bezuidenhout interview, is paraphrased where it touches on third-party allegations, ongoing litigation, or off-record-style remarks. Each source is identified in square brackets by the code assigned in the matrices annex, allowing readers to trace specific claims back to source.</w:t>
      </w:r>
    </w:p>
    <w:p>
      <w:pPr>
        <w:spacing w:before="200" w:after="120"/>
      </w:pPr>
      <w:r>
        <w:rPr>
          <w:rFonts w:ascii="Calibri" w:hAnsi="Calibri"/>
          <w:b/>
          <w:i w:val="0"/>
          <w:color w:val="1F3864"/>
          <w:sz w:val="28"/>
        </w:rPr>
        <w:t>5.2  The information environment</w:t>
      </w:r>
    </w:p>
    <w:p>
      <w:pPr>
        <w:spacing w:before="40" w:after="160" w:line="300" w:lineRule="auto"/>
      </w:pPr>
      <w:r>
        <w:rPr>
          <w:rFonts w:ascii="Calibri" w:hAnsi="Calibri"/>
          <w:b w:val="0"/>
          <w:i w:val="0"/>
          <w:sz w:val="22"/>
        </w:rPr>
        <w:t>The first structural condition documented in the corpus is the information environment in which the proposed project is being interpreted. The information-deficit theme is the most evenly distributed of any in the corpus. It surfaces in all seventeen sources, in every source-type, and across every position in the stakeholder typology developed in Chapter 6. That universality is itself analytically consequential. Where stakeholders disagree about a project but agree that they lack information about it, the analytical question is no longer one of perception alone. It is a question about how the legitimacy environment has been constructed. The international literature on procedural justice has long understood that consultation experienced as a procedural performance (in Hanna et al.'s 2016 phrase, a process that does not alter the content of decisions) becomes a grievance in its own right, rather than a mechanism for resolving grievance. The section examines how that dynamic shows up in the case along three dimensions: what stakeholders know about the project, how they came to know it, and what they recognise as missing.</w:t>
      </w:r>
    </w:p>
    <w:p>
      <w:pPr>
        <w:spacing w:before="40" w:after="160" w:line="300" w:lineRule="auto"/>
      </w:pPr>
      <w:r>
        <w:rPr>
          <w:rFonts w:ascii="Calibri" w:hAnsi="Calibri"/>
          <w:b w:val="0"/>
          <w:i w:val="0"/>
          <w:sz w:val="22"/>
        </w:rPr>
        <w:t>What stakeholders know is unevenly distributed across the corpus, but the unevenness is not random. It correlates with two variables: proximity to direct company engagement, and the position from which the stakeholder approaches the project. At the community level, the Aminuis focus groups consistently picture the proposed operation as a conventional mine (a hole in the ground, trucks, dust, visible industrial activity) and have only partial awareness that the proposed in-situ recovery method works through boreholes and chemical solutions injected underground [FG-Aminuis-1; FG-Aminuis-2; FG-Aminuis-3]. The Leonardville focus groups are better-informed, having attended company-led information sessions at the village hall, but their knowledge is mediated almost entirely by the proponent and is fragmented in important respects [FG-Leonardville-1; FG-Leonardville-2; FG-Leonardville-3]. A young Leonardville participant who had previously been sent on a company-funded fitter's training course captured the texture of this knowledge environment when he observed, in effect, that hope had come to stand in for information: what was understood about the project's safety claims was held more as expectation than as comprehension [FG-Leonardville-1]. Among the technical and sectoral interviewees, the picture is different but not necessarily better. Van Rooyen, Headspring's Chief Communications Officer until late 2025, observes that approximately 44 per cent of the technical skills the proposed mine would require are locally available. The implication is that even within the technically competent population in Namibia, a majority lacks the immediate capacity to evaluate the project on its merits [KII-VanRooyen]. Schneider and Koujo, both with substantial technical backgrounds, are explicit that the radiological and hydrogeological complexity of the project exceeds what can reasonably be expected of a non-specialist audience and that the proponent's public communication has not closed the gap [KII-Schneider; KII-Koujo]. Bezuidenhout, drawing on her experience as an Environmental Assessment Practitioner under the Environmental Management Act framework, names the structural source of this asymmetry. The Act prescribes a minimum of procedural disclosure but says little about the standard of comprehensibility against which that disclosure must be measured [KII-Bezuidenhout].</w:t>
      </w:r>
    </w:p>
    <w:p>
      <w:pPr>
        <w:spacing w:before="40" w:after="160" w:line="300" w:lineRule="auto"/>
      </w:pPr>
      <w:r>
        <w:rPr>
          <w:rFonts w:ascii="Calibri" w:hAnsi="Calibri"/>
          <w:b w:val="0"/>
          <w:i w:val="0"/>
          <w:sz w:val="22"/>
        </w:rPr>
        <w:t>How stakeholders came to know what they know is a separate question, and it generates a sharper picture of where the information environment has broken down. The Aminuis focus groups identify three channels: newspaper advertisements, radio mentions, and informal talk among community members [FG-Aminuis-1; FG-Aminuis-2]. None of the three is well suited to the conditions of the area. Newspapers do not circulate widely in rural Omaheke. Radio coverage is intermittent. Informal talk amplifies rumour and uncertainty rather than resolving them. The proponent's direct engagement in Aminuis has been limited and selective. Participants in the men's agricultural group describe meetings to which 'only two or three people might be selected to attend', typically through invitations channelled via traditional or regional authorities [FG-Aminuis-2]. The Aminuis youth group recalls one such meeting that was cancelled because the invited leaders had not been given enough clarity about what the company actually wanted to discuss [FG-Aminuis-3]. Koujo, speaking from his position as a former traditional councillor in the Ovambanderu authority, characterises the consultation process as 'fundamentally flawed' and 'secretive and selective' [KII-Koujo]. In Leonardville, the picture is structurally different (hall events, food parcels, school library and kitchen support, training opportunities, doctor outreach) but qualitatively similar in one important respect: the channels are almost entirely company-mediated. The Leonardville Village Council notes that residents hear 'pieces of information... not clearly enough', and observes that community members are being asked to absorb a highly technical proposal through fragments of company communication rather than through a structured public process [KII-Council-LV]. The transboundary dimension of the consultation problem is identified by the UNESCO interviewees, who note that the proponent's outreach has assumed a geographically narrow definition of the affected community (focused on Leonardville rather than on the wider aquifer) when the science of the resource at issue requires a far broader definition of the consequential community [KII-UNESCO].</w:t>
      </w:r>
    </w:p>
    <w:p>
      <w:pPr>
        <w:spacing w:before="40" w:after="160" w:line="300" w:lineRule="auto"/>
      </w:pPr>
      <w:r>
        <w:rPr>
          <w:rFonts w:ascii="Calibri" w:hAnsi="Calibri"/>
          <w:b w:val="0"/>
          <w:i w:val="0"/>
          <w:sz w:val="22"/>
        </w:rPr>
        <w:t>Van Rooyen acknowledges from inside the proponent's perspective that 'the process started too late and in the wrong way', and that the Russian project team 'only tried much later' to build the relationships that should have been established at the outset [KII-VanRooyen]. Schneider, examining the same trajectory from outside the project, observes that by the time the company's communication became substantive the debate had already moved 'out of the rational field and into the emotional field', a process the broader literature on early-stage trust formation describes as asymmetric in its updating dynamics and difficult to reverse [KII-Schneider; Lacey and Lamont, 2014]. Pallett's account is the most telling at the procedural level. As a registered interested and affected party (IAP) under the Environmental Management Act, he should have been receiving regular updates from the proponent's environmental practitioners. He has received nothing for more than two years [KII-Pallett].</w:t>
      </w:r>
    </w:p>
    <w:p>
      <w:pPr>
        <w:spacing w:before="40" w:after="160" w:line="300" w:lineRule="auto"/>
      </w:pPr>
      <w:r>
        <w:rPr>
          <w:rFonts w:ascii="Calibri" w:hAnsi="Calibri"/>
          <w:b w:val="0"/>
          <w:i w:val="0"/>
          <w:sz w:val="22"/>
        </w:rPr>
        <w:t>The Bezuidenhout interview sets these accounts within a structural diagnosis. The Environmental Management Act of 2007 and its 2012 regulations, she argues, provide a workable backbone for technical compliance but treat consultation as a procedural step rather than an outcome [KII-Bezuidenhout]. A project can therefore be fully compliant on paper while still being contested on the ground. The variation between practitioners is substantial. Some Environmental Assessment Practitioners run the consultation phase as a genuine two-way engagement in which community feedback is registered and used to modify project design. Others treat it as a tick-box exercise within the statutory minimum. Where the latter approach is taken, the Act does not provide effective recourse. Bezuidenhout's account carries particular weight in this context because Environmental Compliance Consultancy was the firm that conducted the original Environmental Impact Assessment for the Headspring project before withdrawing in 2021. The reasons for that withdrawal, on her own account, included a fundamental disagreement with the proponent about the conduct of the work, with particular concern about how the project's critical groundwater contamination assessment had been commissioned [KII-Bezuidenhout].</w:t>
      </w:r>
    </w:p>
    <w:p>
      <w:pPr>
        <w:spacing w:before="40" w:after="160" w:line="300" w:lineRule="auto"/>
      </w:pPr>
      <w:r>
        <w:rPr>
          <w:rFonts w:ascii="Calibri" w:hAnsi="Calibri"/>
          <w:b w:val="0"/>
          <w:i w:val="0"/>
          <w:sz w:val="22"/>
        </w:rPr>
        <w:t>Van Wyk, who coordinates the Legal Assistance Centre's Land, Environment and Development Project, situates the same structural diagnosis within a legal-procedural framework. The participation requirements under the Act, she argues, are 'often procedural. They are late and limited in their influence', and consultation 'amounts to commenting on predetermined project plans rather than shaping them' [KII-vanWyk]. Two specific procedural features compound the problem in rural settings. The first is the statutory comment window of fourteen days, set in law as the period within which interested and affected parties must lodge objections or comments on technical scoping reports and draft environmental impact assessments. In a community where the documents are highly technical, available only in English, and require independent expertise to interpret, fourteen days is operationally insufficient to constitute meaningful consultation. The second is the channel through which public notification occurs: national newspapers, in English, distributed in the capital and reaching the rural communities of the STAS area days after publication. Van Wyk's broader assessment is that the law's intent and its practical operation diverge sharply. The result, in her words, is that 'what the law intends to do and what happens in practice, there's a huge, huge gap'.</w:t>
      </w:r>
    </w:p>
    <w:p>
      <w:pPr>
        <w:spacing w:before="40" w:after="160" w:line="300" w:lineRule="auto"/>
      </w:pPr>
      <w:r>
        <w:rPr>
          <w:rFonts w:ascii="Calibri" w:hAnsi="Calibri"/>
          <w:b w:val="0"/>
          <w:i w:val="0"/>
          <w:sz w:val="22"/>
        </w:rPr>
        <w:t>What stakeholders recognise as missing is, on first inspection, a long list. Across the corpus, the same items recur. Almost all sources call for credible independent baseline data on the groundwater system [KII-Pallett; KII-UNESCO; KII-Klein; KII-Schneider; KII-Koujo; KII-Bezuidenhout; KII-vanWyk; KII-deToit; KII-Council-LV; FG-Aminuis-1; FG-Aminuis-2; FG-Aminuis-3; FG-Leonardville-1; FG-Leonardville-2; FG-Leonardville-3]. Almost all call for a credible contingency plan, a 'Plan B', in the event of contamination.</w:t>
      </w:r>
    </w:p>
    <w:p>
      <w:pPr>
        <w:spacing w:before="0" w:after="120" w:line="276" w:lineRule="auto"/>
        <w:ind w:left="340"/>
      </w:pPr>
      <w:r>
        <w:rPr>
          <w:rFonts w:ascii="Calibri" w:hAnsi="Calibri"/>
          <w:b/>
          <w:i/>
          <w:color w:val="595959"/>
          <w:sz w:val="18"/>
        </w:rPr>
        <w:t>Footnote 1.</w:t>
      </w:r>
      <w:r>
        <w:rPr>
          <w:rFonts w:ascii="Calibri" w:hAnsi="Calibri"/>
          <w:b w:val="0"/>
          <w:i/>
          <w:color w:val="595959"/>
          <w:sz w:val="18"/>
        </w:rPr>
        <w:t xml:space="preserve"> The term 'Plan B' enters the corpus from the de Toit interview, where it is used to describe the absence of a credible contingency framework should the project produce contamination ("there is no credible 'plan B' being discussed if something goes wrong") [KII-deToit]. The phrase recurs across several focus groups and in the Village Council interview to describe the same gap. In analytical terms, 'Plan B' refers to the package of arrangements that would be required if the project's risk-mitigation measures failed: an alternative water supply for affected communities, a compensation pathway for affected livelihoods, an emergency response framework, and clarity about which institutions would be responsible for each. The chapter retains the phrase because it carries the rhetorical force of the original articulation and because it has become a recognised shorthand among stakeholders, but uses it sparingly and substitutes 'contingency framework' or 'alternative water supply provision' where greater technical precision is required.</w:t>
      </w:r>
    </w:p>
    <w:p>
      <w:pPr>
        <w:spacing w:before="40" w:after="160" w:line="300" w:lineRule="auto"/>
      </w:pPr>
      <w:r>
        <w:rPr>
          <w:rFonts w:ascii="Calibri" w:hAnsi="Calibri"/>
          <w:b w:val="0"/>
          <w:i w:val="0"/>
          <w:sz w:val="22"/>
        </w:rPr>
        <w:t>Almost all call for a structured platform on which both proponent and critical voices can address the community on equal terms, with the Leonardville unemployed group putting this most directly in their request that both those who support the mine and those who oppose it should be required to explain themselves to the community on the same occasion [FG-Leonardville-2]. Bezuidenhout offers the most operational articulation of the disclosure standard. The minimum, she argues, should include the conceptual hydrogeological model and its uncertainties; the source-pathway-receptor logic for each contaminant of concern; monitoring thresholds and trigger levels; the closure and post-closure liability picture; and a plain-language risk narrative including what-could-go-wrong scenarios. The expectation, in her formulation, should be that a numerate, non-specialist community member can read the executive summary and understand both the residual risk and how it will be managed [KII-Bezuidenhout].</w:t>
      </w:r>
    </w:p>
    <w:p>
      <w:pPr>
        <w:spacing w:before="40" w:after="160" w:line="300" w:lineRule="auto"/>
      </w:pPr>
      <w:r>
        <w:rPr>
          <w:rFonts w:ascii="Calibri" w:hAnsi="Calibri"/>
          <w:b w:val="0"/>
          <w:i w:val="0"/>
          <w:sz w:val="22"/>
        </w:rPr>
        <w:t>The information deficit documented in this section is not a peripheral defect of an otherwise sound process. It is a structural feature of how the project has been managed since the initial Exclusive Prospecting Licences were granted. The mechanisms through which information flows in this case (selective leader invitations, partial CSR-mediated company outreach, the procedural minimum of the EMA disclosure regime) do not produce a public-information environment of the kind the international literature identifies as a precondition for legitimate community engagement (Moffat and Zhang, 2014; Hanna et al., 2016). They produce something closer to its opposite. The consequences of this information environment for trust dynamics, for what stakeholders believe about the proponent's intentions, about the government's role, and about the data they are being asked to take on faith, are the subject of the next section.</w:t>
      </w:r>
    </w:p>
    <w:p>
      <w:pPr>
        <w:spacing w:before="200" w:after="120"/>
      </w:pPr>
      <w:r>
        <w:rPr>
          <w:rFonts w:ascii="Calibri" w:hAnsi="Calibri"/>
          <w:b/>
          <w:i w:val="0"/>
          <w:color w:val="1F3864"/>
          <w:sz w:val="28"/>
        </w:rPr>
        <w:t>5.3  The trust environment</w:t>
      </w:r>
    </w:p>
    <w:p>
      <w:pPr>
        <w:spacing w:before="40" w:after="160" w:line="300" w:lineRule="auto"/>
      </w:pPr>
      <w:r>
        <w:rPr>
          <w:rFonts w:ascii="Calibri" w:hAnsi="Calibri"/>
          <w:b w:val="0"/>
          <w:i w:val="0"/>
          <w:sz w:val="22"/>
        </w:rPr>
        <w:t>The most analytically distinctive feature of the empirical material gathered for this study is the structure of the trust deficit it documents. The international literature on social licence has, with some exceptions, theorised trust dynamics in primarily bilateral terms: communities trust or distrust proponents, and the institutional environment surrounding the proponent (regulators, scientific bodies, oversight processes) operates as a mediating layer through which trust deficits can be addressed (Moffat and Zhang, 2014; Boutilier, 2014). The case complicates that picture. Across the seventeen sources in the corpus, distrust extends in at least seven directions simultaneously. It attaches to the proponent, to the parliamentary process, to the relevant ministries, to the scientific data on which any future decision would have to rest, to the licensing and consultation processes themselves, to local political and patronage networks, and to the legal recourse and remedy mechanisms that would be expected to provide redress. Klein's formulation captures the structural consequence: 'there is no neutral in this set-up. Either you are for it, or you are against it' [KII-Klein]. Figure 5.1 sets out the seven directions and the principal evidence in each direction. The remainder of this section maps each direction in turn, before returning at the close to the analytical implications of their convergence.</w:t>
      </w:r>
    </w:p>
    <w:p>
      <w:pPr>
        <w:spacing w:before="240" w:after="120"/>
        <w:jc w:val="center"/>
      </w:pPr>
      <w:r>
        <w:drawing>
          <wp:inline xmlns:a="http://schemas.openxmlformats.org/drawingml/2006/main" xmlns:pic="http://schemas.openxmlformats.org/drawingml/2006/picture">
            <wp:extent cx="5486400" cy="5821561"/>
            <wp:docPr id="1" name="Picture 1"/>
            <wp:cNvGraphicFramePr>
              <a:graphicFrameLocks noChangeAspect="1"/>
            </wp:cNvGraphicFramePr>
            <a:graphic>
              <a:graphicData uri="http://schemas.openxmlformats.org/drawingml/2006/picture">
                <pic:pic>
                  <pic:nvPicPr>
                    <pic:cNvPr id="0" name="Figure_5_1_Trust_Topography.png"/>
                    <pic:cNvPicPr/>
                  </pic:nvPicPr>
                  <pic:blipFill>
                    <a:blip r:embed="rId13"/>
                    <a:stretch>
                      <a:fillRect/>
                    </a:stretch>
                  </pic:blipFill>
                  <pic:spPr>
                    <a:xfrm>
                      <a:off x="0" y="0"/>
                      <a:ext cx="5486400" cy="5821561"/>
                    </a:xfrm>
                    <a:prstGeom prst="rect"/>
                  </pic:spPr>
                </pic:pic>
              </a:graphicData>
            </a:graphic>
          </wp:inline>
        </w:drawing>
      </w:r>
    </w:p>
    <w:p>
      <w:pPr>
        <w:spacing w:before="0" w:after="280"/>
        <w:jc w:val="center"/>
      </w:pPr>
      <w:r>
        <w:rPr>
          <w:rFonts w:ascii="Calibri" w:hAnsi="Calibri"/>
          <w:b/>
          <w:i/>
          <w:color w:val="1F3864"/>
          <w:sz w:val="20"/>
        </w:rPr>
        <w:t xml:space="preserve">Figure 5.1.  </w:t>
      </w:r>
      <w:r>
        <w:rPr>
          <w:rFonts w:ascii="Calibri" w:hAnsi="Calibri"/>
          <w:b w:val="0"/>
          <w:i/>
          <w:color w:val="595959"/>
          <w:sz w:val="20"/>
        </w:rPr>
        <w:t>The seven directions of the trust environment around the proposed Headspring project. Each segment shows a direction in which distrust attaches, with primary evidence on the perimeter callout. Source: author's compilation from the seventeen-source qualitative corpus and documentary records.</w:t>
      </w:r>
    </w:p>
    <w:p>
      <w:pPr>
        <w:spacing w:before="40" w:after="160" w:line="300" w:lineRule="auto"/>
      </w:pPr>
      <w:r>
        <w:rPr>
          <w:rFonts w:ascii="Calibri" w:hAnsi="Calibri"/>
          <w:b w:val="0"/>
          <w:i w:val="0"/>
          <w:sz w:val="22"/>
        </w:rPr>
        <w:t>The first direction is distrust of the proponent. This is the most documented trust deficit in the corpus, and the one the international literature most readily anticipates. Across the focus groups, the proponent is described in language that emphasises a perceived conflict of interest. The Aminuis men's agricultural group captures the contrast directly: 'the mine sees money. We see our lives here' [FG-Aminuis-2]. A Leonardville participant put the same intuition more plainly: 'my personal trust was zero because the company comes to make money' [FG-Leonardville-2]. The Aminuis mixed youth group draws the same conclusion through reasoning about the information environment: if information about the project comes only from the proponent, 'it will tell us beautiful things' [FG-Aminuis-3]. Among the sectoral and technical interviewees, the formulation is more analytical but the substance is consistent. Pallett, drawing on a long career as an Environmental Assessment Practitioner reviewer, identifies the proponent as not trustworthy on the basis of the 2021 compliance findings and what he characterises as a sustained lack of transparency [KII-Pallett]. The Ministry of Agriculture, Water and Land Reform's own compliance monitoring report records this dynamic in primary-source form: 'Headspring representatives have been concealing most of the requested information' (MAWLR, 2021: i). The documentary record of the proponent's conduct is, in other words, consistent with Pallett's reading of it. Klein observes that the mine will 'simply put the positives on the table', a structural observation about incentives rather than a personal one about the firm [KII-Klein]. Bezuidenhout's account, paraphrased in line with the project's confidentiality decisions, describes a fundamental disagreement with the proponent about how the most critical component of the assessment was being commissioned, which led to her firm's withdrawal from the project in 2021 [KII-Bezuidenhout]. Van Rooyen, from inside the proponent's perspective, confirms the trust deficit without contesting it: the Russian project team, he observes, 'only tried much later to build relationships' that should have been established at the outset [KII-VanRooyen]. The geopolitical layering of the distrust, the fact that the proponent is a subsidiary of a Russian state-owned enterprise during a period of intense international scrutiny of Russian state actors, is named explicitly by Pallett and Van Rooyen as deepening the underlying institutional distrust rather than constituting it.</w:t>
      </w:r>
    </w:p>
    <w:p>
      <w:pPr>
        <w:spacing w:before="40" w:after="160" w:line="300" w:lineRule="auto"/>
      </w:pPr>
      <w:r>
        <w:rPr>
          <w:rFonts w:ascii="Calibri" w:hAnsi="Calibri"/>
          <w:b w:val="0"/>
          <w:i w:val="0"/>
          <w:sz w:val="22"/>
        </w:rPr>
        <w:t>The second direction is distrust of the parliamentary process. This direction is analytically distinctive because it extends the trust deficit into a domain the international SLO literature has rarely treated as a primary site of legitimacy contest. In most jurisdictions, the legislature operates as a forum through which executive and corporate conduct can be examined and, where necessary, held to account. In the case, the 2025 report of the Parliamentary Standing Committee on Natural Resources has had the opposite effect. Schneider, speaking from her position as a long-standing sectoral institutional voice, describes the report as 'openly one-sided, almost promotional' [KII-Schneider]. Van Rooyen, drawing on his experience of multi-jurisdictional regulatory environments, observes that the structural separation a credible oversight process requires has not been maintained: 'you cannot be policeman, prosecutor and judge at the same time' [KII-VanRooyen]. Koujo, who appeared before the Committee in person, draws the boundary more sharply: 'politicians should not pretend to substitute for technical expertise' [KII-Koujo]. The systematic comparative analysis offered in Keulder (2026a, 2026b) corroborates these stakeholder accounts at the documentary level. The first paper documents the report's reliance on a procedurally narrow consultation base and its omission of critical voices. The second scores the report against sixteen comparator Namibian standing committee reports and finds it the only one in the corpus to fall within the weak-band classification across multiple oversight dimensions. The report's own framing of dissent makes the point on the rhetorical side: it characterises stakeholder concerns about contamination as 'personal rhetoric or emotional expressions, not backed up by real data collected from the site' (Parliamentary Standing Committee on Natural Resources, 2025: v), an asymmetric framing that maps directly onto the dynamic Bice (2014) identifies as constitutive of legitimacy contests in extractive industries. The empirical convergence between the stakeholder accounts and the documentary analysis is itself consequential. The distrust of the parliamentary process is not a generic perception. It is a position held with reference to specific procedural and evidentiary features of the report it produced.</w:t>
      </w:r>
    </w:p>
    <w:p>
      <w:pPr>
        <w:spacing w:before="40" w:after="160" w:line="300" w:lineRule="auto"/>
      </w:pPr>
      <w:r>
        <w:rPr>
          <w:rFonts w:ascii="Calibri" w:hAnsi="Calibri"/>
          <w:b w:val="0"/>
          <w:i w:val="0"/>
          <w:sz w:val="22"/>
        </w:rPr>
        <w:t>The third direction is distrust of the ministries with formal responsibility for the project's authorisation. The fragmentation of these responsibilities across four ministries (Mines and Energy, Environment, Agriculture and Water, and Health) was described in Chapter 2 and identified in the conceptual framework as a structural condition of weak coordination across formal mandates. The empirical material adds a stakeholder-level reading of that fragmentation. Pallett describes 'lots of suspicion of corruption' within the environmental administration and observes that environmental clearance certificates are issued in patterns more consistent with a box-ticking exercise than a substantive review [KII-Pallett]. Klein, speaking from the perspective of a national agricultural cooperative, observes that 'trust in the government is completely draining away' and that this is not unique to the present environment but characterises a wider deterioration in confidence in state institutions [KII-Klein]. Bezuidenhout's account is more diagnostic. The Environmental Commissioner himself, in her assessment, is attempting to discharge the office's responsibilities; the capacity problems sit in the division below. The turnaround times for environmental clearances, when examined by company across the public data available through the Environmental Information System, exhibit variation that is difficult to reconcile with procedural equality [KII-Bezuidenhout]. Paetzold, from the tourism sector, puts the position in terms of a policy-practice gap: 'the state says one thing in policy, but often does another in practice' [KII-Paetzold]. Van Wyk adds a constitutional reading of the same problem. The Environmental Commissioner, she observes, 'is formally tasked with safeguarding the environment, but operates in a state that actively promotes uranium as a strategic export and jobs driver'. The Ministry of Mines and Energy 'both promotes mining and houses key technical expertise', generating a structural tension between resource promotion and proportionate groundwater protection. The smaller water-affairs bodies that might in principle have provided a regulatory counterweight do not, in her assessment, have decisive regulatory power over mining approvals. Each minister has 'their own sort of agendas, regardless of what they're supposed to be doing'. The recent presidential consolidation of executive authority (deputy ministers appointed from the Second House, and mining and oil-and-gas pulled directly under the presidential purview) has, in her assessment, further compromised the separation of powers that an independent regulatory environment would require [KII-vanWyk]. Across these accounts, the ministerial layer is not perceived as a credible mediator of the underlying proponent-community trust deficit. It is perceived as part of the same trust problem.</w:t>
      </w:r>
    </w:p>
    <w:p>
      <w:pPr>
        <w:spacing w:before="40" w:after="160" w:line="300" w:lineRule="auto"/>
      </w:pPr>
      <w:r>
        <w:rPr>
          <w:rFonts w:ascii="Calibri" w:hAnsi="Calibri"/>
          <w:b w:val="0"/>
          <w:i w:val="0"/>
          <w:sz w:val="22"/>
        </w:rPr>
        <w:t>The fourth direction is the most analytically distinctive, and arguably the most consequential for any subsequent SLO recovery strategy. It is distrust of the scientific data itself. In most contested extractive cases, communities and proponents disagree about how to interpret a shared body of evidence, and an independent technical study can, in principle, narrow the disagreement. The case documents a harder problem. The data are themselves treated as politically contaminated. De Toit names this dimension directly: distrust extends to 'trust in the company, trust in the government, trust in the data, trust in the process' [KII-deToit]. Klein expresses the same intuition in operational terms, observing that single-laboratory monitoring is unreliable in his view because 'we have so much evidence of [it] worldwide, that money buys people' [KII-Klein]. The UNESCO interviewees frame it as a foundational analytical requirement: the only neutral element in a contest of this kind is 'the data, [if] collected by a neutral person', but the neutrality of the collector is itself negotiated, not given [KII-UNESCO]. Pallett draws the practical conclusion. Any future monitoring would need to be conducted by an independent body whose mandate is established outside both the proponent and the immediate Namibian regulatory environment, with samples sent to laboratories in South Africa or Germany [KII-Pallett]. Bezuidenhout names the structural cause of the problem. In the absence of a standardised methodology for evaluating impact severity, individual EAPs have substantial latitude to characterise the same impact differently, with the result that comparative assessment of evidence across projects becomes difficult even where the underlying data are sound [KII-Bezuidenhout]. The implication of this distrust direction is severe. Where data themselves are treated as politically contaminated, the standard SLO-recovery strategy of commissioning additional independent technical work does not, on its own, address the trust deficit. The credibility of the commissioning process is also contested.</w:t>
      </w:r>
    </w:p>
    <w:p>
      <w:pPr>
        <w:spacing w:before="40" w:after="160" w:line="300" w:lineRule="auto"/>
      </w:pPr>
      <w:r>
        <w:rPr>
          <w:rFonts w:ascii="Calibri" w:hAnsi="Calibri"/>
          <w:b w:val="0"/>
          <w:i w:val="0"/>
          <w:sz w:val="22"/>
        </w:rPr>
        <w:t>The fifth direction is distrust of the licensing and consultation processes. The Exclusive Prospecting Licence regime, which authorises mineral exploration on private and customary land regardless of landowner preferences, is named by Koujo as a structural source of community exclusion: 'local communities are largely excluded from that stage. An EPL can be granted over land that communities use, and those communities are then only brought in later, if at all' [KII-Koujo]. Schneider identifies the early-licensing decision as the project's foundational error: the licensing committee should have paused and brought in the Ministry of Agriculture to assess the groundwater implications before the licence was granted, and did not [KII-Schneider]. Pallett observes that the Environmental Clearance Certificate process has functioned, in his assessment, as a procedural validation rather than a substantive review, with very few applications ever refused [KII-Pallett]. Bezuidenhout names the consultation regime under Section 21 of the EMA Regulations as adequate as a procedural floor but inadequate as a substantive requirement, with the further observation that the variation across practitioners is wide [KII-Bezuidenhout]. Van Wyk's reading is the sharpest: the law is treated as a procedural box to be ticked whatever the substantive merits of the application, and the Environmental Commissioner's office does not, in her experience, independently verify whether the claims placed before it are true [KII-vanWyk]. The same EAP firms recur across multiple controversial projects, and the licensing process generates approvals on timelines that do not appear to scale with the substantive complexity of the applications being assessed. The allocation, since 2021, of an additional series of Exclusive Prospecting Licences for in-situ recovery exploration in the same area, granted to companies described in the stakeholder corpus as related to the original proponent, has compounded this dimension of distrust by signalling that the licensing process is operating on a trajectory independent of the unresolved questions about the original project [KII-UNESCO; KII-Klein; KII-vanWyk].</w:t>
      </w:r>
    </w:p>
    <w:p>
      <w:pPr>
        <w:spacing w:before="40" w:after="160" w:line="300" w:lineRule="auto"/>
      </w:pPr>
      <w:r>
        <w:rPr>
          <w:rFonts w:ascii="Calibri" w:hAnsi="Calibri"/>
          <w:b w:val="0"/>
          <w:i w:val="0"/>
          <w:sz w:val="22"/>
        </w:rPr>
        <w:t>The sixth direction is the most place-specific. In Leonardville, the focus groups identify the village council and the regional political networks as objects of distrust in their own right. The unemployed-youth group describes opportunities as flowing 'through networks of family and preference rather than through fair communication' [FG-Leonardville-1]. The mixed-unemployed group observes that community members who attend meetings or travel on behalf of the community do not always come back and report honestly or in detail [FG-Leonardville-3]. In Aminuis, the parallel observation is registered in the men's agricultural group's description of selective leader invitations, with two or three people selected for each meeting and no broader community feedback [FG-Aminuis-2]. Koujo, speaking from his own position within the customary authority structure, describes the consultation process as 'secretive and selective', a characterisation that points back at his own institutional environment as well as at the proponent's conduct [KII-Koujo]. Van Wyk adds a structural reading of the same dynamic from a legal vantage. Traditional authorities, she observes, hold administrative powers over communal land but do not have decision-making powers over mining operations, which sit with higher government actors. The Traditional Authorities Act 25 of 2000, moreover, formally requires traditional authorities to promote the policies and projects of the government, which structurally compromises their independence as community representatives in matters that put community interests in tension with government policy [KII-vanWyk]. The local-political direction of distrust is analytically distinctive because, unlike the other five external directions, it operates entirely within the affected community itself. It is not a distrust extended outwards toward an external actor. It is a distrust of the mechanisms through which the affected community is supposed to coordinate its own response.</w:t>
      </w:r>
    </w:p>
    <w:p>
      <w:pPr>
        <w:spacing w:before="40" w:after="160" w:line="300" w:lineRule="auto"/>
      </w:pPr>
      <w:r>
        <w:rPr>
          <w:rFonts w:ascii="Calibri" w:hAnsi="Calibri"/>
          <w:b w:val="0"/>
          <w:i w:val="0"/>
          <w:sz w:val="22"/>
        </w:rPr>
        <w:t>The seventh direction is the most institutionally specific, and the one with the fewest exit pathways. It is distrust of the legal recourse and remedy mechanisms that, in principle, exist for affected parties to challenge regulatory decisions and seek redress. Van Wyk, who coordinates the Legal Assistance Centre's Land, Environment and Development Project, sets out the structural problem in detail. The Environmental Management Act provides for appeals against environmental clearance decisions under section 54, but the appellate body sits within the same ministry as the original decision-maker, generating what she describes as a partial-independence problem that mirrors the underlying ministerial conflict identified earlier in this section [KII-vanWyk]. The minister has no statutory time limit within which to rule on an appeal. In a comparable Namibian extractive case (the Recon Africa oil and gas appeal pursued by the LAC and others) the minister took three years to issue a five-paragraph dismissal upholding the Environmental Commissioner's original decision. Crucially, the proponent's operations are not stayed automatically pending appeal. In practice, the appeal can be lodged, prosecuted, and rejected while the underlying project continues. Affected parties seeking faster redress must therefore bypass the minister and bring a review application to the High Court, which is restricted to questions of law and is prohibitively expensive. The Office of the Ombudsman, which would in principle investigate complaints brought to it, has taken the position that it cannot enforce its findings or pursue them through the courts. There is no provision for class action in Namibian law, meaning that affected parties must constitute themselves as a registered voluntary association with explicit objectives in order to have legal standing, an organisational form that may not be available in the timescales that the appeal process demands. The cost barriers are themselves consequential. Van Wyk observes that, in the Namibian courts, 'the damages you suffer are weighed as secondary to the economic effect of staying the project', meaning that the burden of demonstrating harm sits with the affected community rather than with the proponent [KII-vanWyk]. Bezuidenhout's account corroborates this picture from a different vantage. The section 54 appeal mechanism is, in her formulation, cheap to file (the statutory fee is approximately N$500) but expensive to mount, because effective use requires legal representation, expert testimony, and the willingness to absorb the proceeding's costs against an asymmetric opponent [KII-Bezuidenhout]. Pallett, drawing on his own experience as a registered Interested and Affected Party, registers the same observation in different terms: the procedural floor of the EMA appeal system is set low enough to be reachable, but the substantive ceiling is set high enough that few affected parties will reach it [KII-Pallett]. The implication of this seventh direction is that legal recourse, which in most jurisdictions operates as the institutional safety valve through which trust deficits can be addressed when other mediators have failed, has itself become an object of distrust in the case. Not because the formal architecture is absent, but because the empirical experience of using that architecture has confirmed that it cannot deliver what it formally promises.</w:t>
      </w:r>
    </w:p>
    <w:p>
      <w:pPr>
        <w:spacing w:before="40" w:after="160" w:line="300" w:lineRule="auto"/>
      </w:pPr>
      <w:r>
        <w:rPr>
          <w:rFonts w:ascii="Calibri" w:hAnsi="Calibri"/>
          <w:b w:val="0"/>
          <w:i w:val="0"/>
          <w:sz w:val="22"/>
        </w:rPr>
        <w:t>The multi-directionality documented in this section has analytical consequences that the international SLO literature has not, in its primarily bilateral framing, fully theorised. Where distrust attaches to the proponent alone, the standard recovery strategies remain available: better engagement, clearer information, more visible benefit-sharing, and the introduction of independent third parties to mediate (Moffat and Zhang, 2014; Boutilier, 2014). Where distrust extends to the regulator as well, recovery becomes harder but not impossible: an independent scientific body or a credible legislative committee can take on the mediating role. Where distrust extends to scientific data and to the licensing process itself, the standard recovery strategies become structurally compromised, because each new measure introduced to address the trust deficit must itself acquire credibility under conditions in which credibility is the contested category. Where distrust extends, in addition, to the local political networks through which any community-level response would have to be coordinated, the recovery strategies that depend on internal community deliberation are also compromised. And where, finally, distrust attaches to the legal recourse and remedy mechanisms that any settled liberal-democratic SLO framework presupposes as the institutional backstop for unresolved grievance, the standard recovery strategies have run out of meaningful institutional alternatives entirely. Klein's formulation captures the cumulative effect: 'there is no neutral in this set-up'. Schneider's diagnosis (that the debate has moved 'out of the rational field and into the emotional field') should be read in this light. The movement she describes is not a movement away from rationality. It is, on the evidence presented here, a fully rational response to a legitimacy environment in which the standard mediators of disagreement, and the legal mechanisms that would in principle convene them, have themselves become objects of contest. The chapter now turns to the political and economic conditions in which this multi-directional distrust has taken root.</w:t>
      </w:r>
    </w:p>
    <w:p>
      <w:pPr>
        <w:spacing w:before="200" w:after="120"/>
      </w:pPr>
      <w:r>
        <w:rPr>
          <w:rFonts w:ascii="Calibri" w:hAnsi="Calibri"/>
          <w:b/>
          <w:i w:val="0"/>
          <w:color w:val="1F3864"/>
          <w:sz w:val="28"/>
        </w:rPr>
        <w:t>5.4  Poverty, service deficits and the political economy of openness</w:t>
      </w:r>
    </w:p>
    <w:p>
      <w:pPr>
        <w:spacing w:before="40" w:after="160" w:line="300" w:lineRule="auto"/>
      </w:pPr>
      <w:r>
        <w:rPr>
          <w:rFonts w:ascii="Calibri" w:hAnsi="Calibri"/>
          <w:b w:val="0"/>
          <w:i w:val="0"/>
          <w:sz w:val="22"/>
        </w:rPr>
        <w:t>The trust environment described in the preceding section has not formed in a vacuum. It has formed in a political and economic environment in which severe unemployment, chronic service deficit, and a long history of development exclusion shape what stakeholders bring to the conversation about the project. This section examines that environment in three steps. It first establishes the empirical baseline: the scale of unemployment, the depth of service deficit, and the texture of the development deficit across the affected area. It then develops the claim that this poverty is the floor of every conversation in the corpus, in the sense that it sets the terms on which any project's promises are received and against which any project's risks are weighed. It closes with an uncomfortable corollary several of the stakeholder interviewees themselves identified: that vulnerability and information asymmetry, together, place severe structural pressure on the concept of free and informed consent that underwrites the international SLO framework.</w:t>
      </w:r>
    </w:p>
    <w:p>
      <w:pPr>
        <w:spacing w:before="40" w:after="160" w:line="300" w:lineRule="auto"/>
      </w:pPr>
      <w:r>
        <w:rPr>
          <w:rFonts w:ascii="Calibri" w:hAnsi="Calibri"/>
          <w:b w:val="0"/>
          <w:i w:val="0"/>
          <w:sz w:val="22"/>
        </w:rPr>
        <w:t>The empirical baseline emerges across the corpus in three reinforcing forms. The first is unemployment. The Aminuis women's agricultural group describes a community in which 'there is a lack of opportunities', in which 'people want to work and improve their lives, but there is very little available', and in which the cumulative effect is to leave residents 'discouraged' [FG-Aminuis-1]. The Aminuis mixed youth group registers the same condition in more pointed language: 'we are hungry for development. That is why people want the mine. They want work and a better life' [FG-Aminuis-3]. In Leonardville, the unemployment baseline is articulated most viscerally by the youth group whose members lived through the 2018-2021 drilling phase. When the drilling stopped, in their account, 'the hunger came back. You could feel it. When the workers were here, the difference was real' [FG-Leonardville-3]. The second form is service deficit. The Leonardville Village Council, asked to articulate community priorities independent of the mine, named the absence of an ambulance as the most pressing immediate concern: 'we do not have an ambulance. We have raised that repeatedly. If someone is seriously ill, an ambulance must come all the way from Gobabis or elsewhere, and by then the situation may already be critical.' The clinic itself, in the Council's account, is 'limited'; people 'must travel long distances and spend significant money just to access treatment or collect medicine'. The Council's framing is direct: 'these are not luxury requests. They are basic needs' [KII-Council-LV]. The Aminuis women's group describes the same configuration: a single clinic, an unreliable ambulance service, medicine shortages, no proper vocational training pathway, and a generalised pattern of being told to 'return another day' [FG-Aminuis-1]. The third form is the development deficit, understood as the chronic, multi-generational character of the first two. Schneider observes that the affected communities sit in 'an area where economic opportunities are limited and where many existing jobs are low-paid farm work' [KII-Schneider]. Klein, drawing on national agricultural statistics, observes that 'within agriculture, seventy percent of the population is indirectly dependent on agriculture', and that this dependence is 'bigger in the South' [KII-Klein]. The southern STAS belt sits inside an economy in which the formal labour market is small, agricultural employment is the principal alternative, and a recognised alternative pathway to development has not materialised at any point in living memory.</w:t>
      </w:r>
    </w:p>
    <w:p>
      <w:pPr>
        <w:spacing w:before="40" w:after="160" w:line="300" w:lineRule="auto"/>
      </w:pPr>
      <w:r>
        <w:rPr>
          <w:rFonts w:ascii="Calibri" w:hAnsi="Calibri"/>
          <w:b w:val="0"/>
          <w:i w:val="0"/>
          <w:sz w:val="22"/>
        </w:rPr>
        <w:t>The analytical claim developed here is that this baseline is not context but precondition. It is not the background against which the project is being considered. It is the floor against which the project is being measured. The clearest demonstration is the Leonardville youth group's account of the drilling phase. The participants in that group are not naive about the project's risks (water-quality concerns surface in their discussion as in every other focus group) but their assessment of what the project offers is grounded in a specific, lived memory of household income, informal trade and town liveliness during the drilling period [FG-Leonardville-3]. The Aminuis focus groups articulate a parallel position without the same evidentiary grounding: their hope is hypothetical rather than empirical, but its content is similar. The mine, in their accounts, is one of the few projects that has appeared on the horizon offering employment, training, and the prospect of household income. The Village Council puts this most directly: 'when you live in a place like this and an opportunity such as a mine appears, people see it as one of the few ways out of poverty' [KII-Council-LV]. The implication is that the standard SLO calculus, in which a community weighs costs and benefits against an alternative state of affairs, does not operate symmetrically when the alternative state of affairs is severe and structural. Where alternatives exist, the threshold of acceptable benefit can be set high. Where they do not, the threshold is set by the floor, not by the ceiling. Several of the sectoral and technical interviewees identify this asymmetry directly. Pallett observes that in a community of severe poverty and desperation for work, a project offering employment 'is immediately seen as the kind of saviour', and the analytical challenge in such settings is precisely that the conditions for clear-eyed assessment are themselves compromised by the conditions the project purports to address [KII-Pallett]. Klein, from the agribusiness perspective, registers the structural force of the same observation: 'people speak very easily from emotion, but the moment emotion starts costing you money, then you think twice', and in communities without much capital to lose, the cost-internalisation that would discipline hope does not occur until the harm has already arrived [KII-Klein].</w:t>
      </w:r>
    </w:p>
    <w:p>
      <w:pPr>
        <w:spacing w:before="40" w:after="160" w:line="300" w:lineRule="auto"/>
      </w:pPr>
      <w:r>
        <w:rPr>
          <w:rFonts w:ascii="Calibri" w:hAnsi="Calibri"/>
          <w:b w:val="0"/>
          <w:i w:val="0"/>
          <w:sz w:val="22"/>
        </w:rPr>
        <w:t>The corollary that several stakeholders themselves identified is the one the international SLO literature has begun, in its more critical strands, to theorise. Pallett's formulation is the most pointed. In a context of severe poverty, the project 'might look hunky-dory, it might look attractive because it can provide employment and it can promise you prosperity and all sorts of things', and the very conditions under which the project would be most welcomed are also the conditions under which 'hidden dangers' are most likely to be discounted in the affected stakeholders' own reasoning [KII-Pallett]. Schneider extends the observation to the political layer, noting that 'regional political actors' with their own interests in the project's progression are operating in an environment where many existing jobs are low-paid farm work and where the marginal political value of additional employment claims is correspondingly high [KII-Schneider]. Koujo's formulation is more directly about epistemics: under conditions of severe information asymmetry and severe livelihood pressure, 'very few people in the community understand the science in detail', and the affected community is therefore 'responding to trusted advice and to the sense that the project is risky' rather than to an independent technical assessment of the kind the SLO framework presupposes [KII-Koujo]. The Phase 1 survey reported in Keulder (2026c) registers a cross-cutting indicator of the same structural condition. When asked what they would do if contamination of the aquifer were confirmed, the largest single proportion of surveyed farm households (31.7 per cent) selected permanent exit from farming as their dominant response. The figure is consequential because the alternative to consenting to the project, on the empirical record, is not 'not consent'. It is exit. And exit, as the focus groups make repeatedly clear, is neither financially feasible nor culturally acceptable for the affected communities. The critical SLO literature has begun to theorise this dynamic. Owen and Kemp (2013, 2017) argue that SLO frameworks operated in conditions of severe livelihood pressure risk displacing stronger rights-based instruments (particularly the principle of Free, Prior and Informed Consent) and converting what should be a substantive obligation into a relational performance. Van Wyk identifies the same dynamic in the empirical operation of Namibian law. The communities in this case, she observes, are not treated by the existing consultation regime as rights-bearing stakeholders. They are 'mere consultees within the procedural EIA framework'. The principle of Free, Prior and Informed Consent has been ratified in international instruments to which Namibia is a state party, but in domestic law and practice 'it has no meaning': the right exists in name only, without the procedural architecture that would put it into practice [KII-vanWyk]. Bice (2014) and Ehrnström-Fuentes (2016) extend this critique by observing that consent obtained under conditions of severe vulnerability and asymmetric information cannot be treated as analytically equivalent to consent obtained under conditions of genuine alternative. The stakeholder interviewees in this study made an analogous observation independently and from their own experience: an SLO secured in the conditions documented in this section is structurally suspect even if formally consensual.</w:t>
      </w:r>
    </w:p>
    <w:p>
      <w:pPr>
        <w:spacing w:before="40" w:after="160" w:line="300" w:lineRule="auto"/>
      </w:pPr>
      <w:r>
        <w:rPr>
          <w:rFonts w:ascii="Calibri" w:hAnsi="Calibri"/>
          <w:b w:val="0"/>
          <w:i w:val="0"/>
          <w:sz w:val="22"/>
        </w:rPr>
        <w:t>The observation is not an argument against engagement, and it is not an argument against the affected communities' agency. The Aminuis youth group's articulation ('we are hungry for development') is not an irrational position. It is, on the contrary, an entirely intelligible response to the conditions in which the group's members live. The analytical claim of this section is that the conditions themselves are part of the legitimacy environment within which any SLO judgement has to be made, and that any SLO framework that does not register them as such has misunderstood what it is being asked to legitimise. The next section turns to the resource at the centre of the project: the groundwater on which the affected communities depend, and which is the principal axis along which the project's costs and benefits are being weighed.</w:t>
      </w:r>
    </w:p>
    <w:p>
      <w:pPr>
        <w:spacing w:before="200" w:after="120"/>
      </w:pPr>
      <w:r>
        <w:rPr>
          <w:rFonts w:ascii="Calibri" w:hAnsi="Calibri"/>
          <w:b/>
          <w:i w:val="0"/>
          <w:color w:val="1F3864"/>
          <w:sz w:val="28"/>
        </w:rPr>
        <w:t>5.5  Water as a non-substitutable resource</w:t>
      </w:r>
    </w:p>
    <w:p>
      <w:pPr>
        <w:spacing w:before="40" w:after="160" w:line="300" w:lineRule="auto"/>
      </w:pPr>
      <w:r>
        <w:rPr>
          <w:rFonts w:ascii="Calibri" w:hAnsi="Calibri"/>
          <w:b w:val="0"/>
          <w:i w:val="0"/>
          <w:sz w:val="22"/>
        </w:rPr>
        <w:t>The political and economic conditions described in the preceding section produce a particular relation to the resource at the centre of the project: groundwater. The conceptual framework developed in Chapter 3 anticipated, drawing on Conde and Le Billon (2017), Sosa and Zwarteveen (2012) and Renn (2008), that non-substitutability of the resource at issue would act as a structural intensifier of SLO conditions. Where the resource at risk is constitutive of livelihood rather than ancillary to it, the threshold of legitimacy required for project approval is higher, the tolerance for governance failure is lower, and the dynamics of trust formation are more demanding. The empirical material gathered for this study confirms that anticipation, but it also extends it. Water in the case is not only a non-substitutable resource. It is the analytical lens through which every other dimension of the project is interpreted, the vector along which cross-sector consequences cascade, and the point at which domestic legal frameworks meet their transboundary limits. The section examines those three dimensions in turn.</w:t>
      </w:r>
    </w:p>
    <w:p>
      <w:pPr>
        <w:spacing w:before="40" w:after="160" w:line="300" w:lineRule="auto"/>
      </w:pPr>
      <w:r>
        <w:rPr>
          <w:rFonts w:ascii="Calibri" w:hAnsi="Calibri"/>
          <w:b w:val="0"/>
          <w:i w:val="0"/>
          <w:sz w:val="22"/>
        </w:rPr>
        <w:t>The empirical depth of water dependence in the STAS area is documented in three reinforcing sources. The Phase 1 farmer survey (Keulder, 2026c) reports that 81.9 per cent of surveyed farm households rely on private boreholes as their primary source of household water, with limited true redundancy in backup sources and near-universal dependence on the same aquifer system for livestock watering and irrigation. The qualitative material registers the same condition in the most direct possible terms. The Aminuis women's agricultural group puts the framing that recurs across every focus group in the corpus: 'water is life. If the water is affected, it affects people, livestock, and the future' [FG-Aminuis-1]. The Aminuis men's group renders the same observation more sharply: 'if the water is polluted, then nothing else matters' [FG-Aminuis-2]. The Leonardville Village Council puts it as the question no other source has been able to answer: 'even those who want the mine say: if the water is affected, what then? And nobody seems to have fully answered that in a way communities trust' [KII-Council-LV]. The sectoral and technical interviewees add a layer of structural detail to this universal framing. Koujo observes that the in-situ recovery method proposed has, in international practice, been applied principally in brackish aquifers (water bodies whose quality was already low enough to preclude potable use) rather than in drinking-water aquifers of the kind on which STAS communities depend [KII-Koujo]. Schneider's account adds that the STAS is hydrogeologically complex, with three principal aquifers in superposition and a fragile confining layer (the Rietmond Member shale) whose integrity is what allows the deeper aquifers to retain their potable quality (UNESCO and IGRAC, 2017; KII-Schneider). Bezuidenhout's account confirms that the proponent's original Environmental Impact Assessment was withdrawn because the most critical scientific component (the groundwater contamination assessment) had been commissioned in ways her firm could not endorse [KII-Bezuidenhout]. Van Wyk adds the legal recognition. The Water Resources Management Act 11 of 2013 designates the STAS as a specially protected area, which carries formal implications for any extractive activity that could compromise the resource [KII-vanWyk]. The Cirrus Capital (2026) economic impact assessment provides macroeconomic corroboration of the structural picture: the STAS economy is, in the assessment's framing, 'narrow in structure and highly dependent on the groundwater-supported agriculture', making the basin 'especially sensitive to any disruption in water quality or water confidence'. The combined empirical picture is unambiguous. Water dependence in this case is structural, absolute, and recognised in law as warranting elevated protection.</w:t>
      </w:r>
    </w:p>
    <w:p>
      <w:pPr>
        <w:spacing w:before="40" w:after="160" w:line="300" w:lineRule="auto"/>
      </w:pPr>
      <w:r>
        <w:rPr>
          <w:rFonts w:ascii="Calibri" w:hAnsi="Calibri"/>
          <w:b w:val="0"/>
          <w:i w:val="0"/>
          <w:sz w:val="22"/>
        </w:rPr>
        <w:t>The analytical work that water-dependence does, however, exceeds its empirical description. Water's non-substitutability transforms how the project is interpreted across every source-type in the corpus. Where alternative water supplies exist, a project's water-related risks can be weighed against its other benefits as one cost among others. Where they do not, water becomes the lens through which every other dimension of the project is read. The Aminuis focus groups demonstrate this most starkly: water-quality concerns surface across every discussion of every other theme, from employment to consultation to the long-term future of the community. The Leonardville focus groups, even those most hopeful about the project's economic possibilities, return to the same observation. The Leonardville unemployed-residents group, asked about the project's possible benefits in spin-off business activity, observed that if the water were affected 'then our products are affected too. Who will buy your animals or your goods if they come from a place people think is polluted?' [FG-Leonardville-2]. The hopefulness about jobs and the anxiety about water do not, in the empirical material, exist on a single scale that can be optimised. They exist as parallel orderings in which water is the more fundamental category. Pallett puts the structural reading: 'any activity which pollutes ground water is just immediately a red flag. It's just jeopardising your future' [KII-Pallett]. Klein extends the same observation to the productive economy: 'if you drink water that is contaminated, you as a person are in danger. But your livestock also drinks the water, and the livestock is sold to an abattoir in Windhoek, and the meat can end up on somebody's table in Otjiwarongo. So is it now only one particular area, or is it actually national?' [KII-Klein]. Van Wyk identifies the legal corollary. Namibian mineral law vests mineral resources in the state regardless of who occupies the land above them. The result is that the proponent's right to access the subsurface minerals is, in law, established independently of the affected community's relation to the water in which those minerals sit [KII-vanWyk]. The communities depend on the water. They do not depend on the uranium.</w:t>
      </w:r>
    </w:p>
    <w:p>
      <w:pPr>
        <w:spacing w:before="40" w:after="160" w:line="300" w:lineRule="auto"/>
      </w:pPr>
      <w:r>
        <w:rPr>
          <w:rFonts w:ascii="Calibri" w:hAnsi="Calibri"/>
          <w:b w:val="0"/>
          <w:i w:val="0"/>
          <w:sz w:val="22"/>
        </w:rPr>
        <w:t>The asymmetry between the proponent's relation to the resource and the community's relation to it has been documented, in striking form, in the parliamentary record itself. The 2025 report of the Parliamentary Standing Committee on Natural Resources states explicitly that 'the radiation or natural contamination is already there' (Parliamentary Standing Committee on Natural Resources, 2025: iii). It goes further. It characterises the current situation as 'a disaster waiting to happen, as people and animals could be drinking highly contaminated water without knowing it' (Parliamentary Standing Committee on Natural Resources, 2025: iv). These claims are made without supporting evidence in the text of the report: no baseline water-quality data, no hydrogeological analysis, no toxicological assessment. They function, in the report's own logic, as a justification for the project itself. Uranium extraction would, on the report's reasoning, be the means by which the scientific knowledge of contamination could be acquired, with 'the government [then to] apply a mitigating strategy, such as bringing in fresh water' (Parliamentary Standing Committee on Natural Resources, 2025: iv). Several of the stakeholders interviewed for this study identify this rhetorical move as analytically and ethically consequential. UNESCO's interviewees observe that a claim of contamination, if substantiated, should trigger a remediation response rather than continued extraction from the contaminated resource: 'it's not a strong justification to then go ahead and do mining because the water is already contaminated' [KII-UNESCO]. Van Wyk's response is the most direct. A claim of contamination should be accompanied by an account of what the contaminant is, where it is, and what the evidence base for the claim consists of [KII-vanWyk]. Keulder's (2026a) systematic content analysis of the parliamentary report identifies these unsupported claims among the documentary features that distinguish the report from comparator parliamentary oversight reports. The analytical implication is consequential. The information environment described in §5.2 has been confirmed in the parliamentary record itself. Claims about the water can enter the public record without supporting evidence, and the institutional architecture has not held that pattern accountable.</w:t>
      </w:r>
    </w:p>
    <w:p>
      <w:pPr>
        <w:spacing w:before="40" w:after="160" w:line="300" w:lineRule="auto"/>
      </w:pPr>
      <w:r>
        <w:rPr>
          <w:rFonts w:ascii="Calibri" w:hAnsi="Calibri"/>
          <w:b w:val="0"/>
          <w:i w:val="0"/>
          <w:sz w:val="22"/>
        </w:rPr>
        <w:t>The asymmetry is structural. Where it intersects with the empirical reality of non-substitutability, the result is that the standard SLO calculus, costs weighed against benefits, does not operate. The cost of compromised water is not commensurable with the benefit of mineral revenue. The 31.7 per cent of surveyed farm households who indicated, in the Phase 1 survey, that they would respond to confirmed contamination by exiting farming permanently is the empirical signature of this incommensurability (Keulder, 2026c). It is not a failure of cost-benefit reasoning. It is what cost-benefit reasoning produces when the resource at issue is constitutive of livelihood rather than ancillary to it.</w:t>
      </w:r>
    </w:p>
    <w:p>
      <w:pPr>
        <w:spacing w:before="40" w:after="160" w:line="300" w:lineRule="auto"/>
      </w:pPr>
      <w:r>
        <w:rPr>
          <w:rFonts w:ascii="Calibri" w:hAnsi="Calibri"/>
          <w:b w:val="0"/>
          <w:i w:val="0"/>
          <w:sz w:val="22"/>
        </w:rPr>
        <w:t>The Cirrus Capital (2026) economic impact assessment provides a macroeconomic specification of the same incommensurability at the basin level. In a confirmed-contamination scenario, the assessment estimates annual GDP losses of approximately NAD 4.69 billion (equivalent to 1.9 per cent of national GDP); losses of approximately NAD 4.23 billion in household income; and losses of approximately 13,052 employment opportunities (Cirrus Capital, 2026). The assessment's own framing is analytically pointed: 'the contamination scenario is larger than the total employment gain associated with the mine scenario' (Cirrus Capital, 2026). The figures are estimates and would be revised in any subsequent specification, but their order of magnitude makes the incommensurability point. The employment losses from a contaminated water resource are estimated to exceed the employment gains from the mine that would create the contamination risk in the first place. This is the macroeconomic form of the household-level finding the Phase 1 survey produced. Both are signatures of the same structural condition.</w:t>
      </w:r>
    </w:p>
    <w:p>
      <w:pPr>
        <w:spacing w:before="40" w:after="160" w:line="300" w:lineRule="auto"/>
      </w:pPr>
      <w:r>
        <w:rPr>
          <w:rFonts w:ascii="Calibri" w:hAnsi="Calibri"/>
          <w:b w:val="0"/>
          <w:i w:val="0"/>
          <w:sz w:val="22"/>
        </w:rPr>
        <w:t>The consequences of water-dependence cascade across sectors. The empirical material documents this cascade across at least four channels. The first is agribusiness. Klein, speaking from the perspective of Namibia's principal national agricultural cooperative, identifies the southern STAS belt as a significant component of the country's beef export economy and observes that reputational damage to the area's water supply would translate into reputational damage to its products: 'how is it going to affect us in terms of our international trade with our beef to Europe?' [KII-Klein]. The second is tourism. Paetzold, from the Hospitality Association of Namibia, identifies the broader risk to the region's destination brand: 'even the perception of risk could damage the image of southern Namibia', and the damage 'does not stay neatly confined to a map' [KII-Paetzold]. The third is finance and property. De Toit observes that the southern banking sector holds substantial debt secured against agricultural land in the area, and that property values and credit availability would deteriorate in a contamination scenario. The Phase 1 survey's discussion of household indebtedness corroborates this concern at the household level [KII-deToit; Keulder, 2026c]. The fourth is communal livelihoods. Both the Aminuis and Leonardville focus groups identify the cascade in their own terms: the products they sell (livestock, small-scale agricultural goods, services) would become difficult to market if associated with a contaminated area, regardless of whether the contamination affected those specific products directly [FG-Aminuis-2; FG-Leonardville-2]. Across these four channels, the cascade is structural rather than speculative. It does not require contamination to have occurred. It requires only that contamination be perceived to be possible.</w:t>
      </w:r>
    </w:p>
    <w:p>
      <w:pPr>
        <w:spacing w:before="40" w:after="160" w:line="300" w:lineRule="auto"/>
      </w:pPr>
      <w:r>
        <w:rPr>
          <w:rFonts w:ascii="Calibri" w:hAnsi="Calibri"/>
          <w:b w:val="0"/>
          <w:i w:val="0"/>
          <w:sz w:val="22"/>
        </w:rPr>
        <w:t>That perception, in turn, is grounded not in abstract anxiety but in documented compliance failure. The Ministry of Agriculture, Water and Land Reform's Compliance Monitoring Feedback Report of 25 October 2021 documents five specific water-protection failures by the proponent: drilling more than one hundred small-diameter exploration boreholes against the nineteen authorised; drilling twenty-four hydrogeological boreholes against the eighteen authorised; failure to case off the Kalahari aquifer before drilling into the Auob, in contravention of the permit's central technical condition; the leaving of exploration boreholes open after geophysical logging, creating contamination pathways; and the installation of hydrogeological-study boreholes in a configuration corresponding to a proposed in-situ leaching pattern not disclosed in the permit application (MAWLR, 2021). The report records, with analytical significance for the present chapter, that 'Headspring representatives have been concealing most of the requested information' (MAWLR, 2021: i). On 9 November 2021, on the basis of these findings, the Executive Director of the Department of Water Affairs withdrew both drilling permits with immediate effect, citing 'gross violations and non-compliance of permit major conditions' and stipulating that 'no further drilling is permitted' (MAWLR, 2021). The cascade concerns documented across the qualitative corpus are anchored, in the documentary record, to a regulator's own conclusion that the proponent's water-protection conduct was unacceptable on the technical grounds the regulator was responsible for enforcing. The conclusion was reached, importantly, by the one ministry within the four-ministry architecture documented in §5.3 whose mandate placed it closest to the technical question at issue.</w:t>
      </w:r>
    </w:p>
    <w:p>
      <w:pPr>
        <w:spacing w:before="40" w:after="160" w:line="300" w:lineRule="auto"/>
      </w:pPr>
      <w:r>
        <w:rPr>
          <w:rFonts w:ascii="Calibri" w:hAnsi="Calibri"/>
          <w:b w:val="0"/>
          <w:i w:val="0"/>
          <w:sz w:val="22"/>
        </w:rPr>
        <w:t>The cross-sector cascade has a transboundary dimension that the empirical material treats with care. The Stampriet Transboundary Aquifer System extends across Namibia, Botswana, and South Africa, and the cooperative governance arrangements developed under the UNESCO and IGRAC framework recognise the three states as joint custodians of the resource (UNESCO and IGRAC, 2017). The UNESCO interviewees observe that any decision about extractive activity in the Namibian portion of the aquifer 'should not lie with the Namibian government only', and that the international scientific community has the standing and, if funded, the capacity to commission a regional baseline study capable of supporting an evidence-based decision [KII-UNESCO]. Pallett identifies the Southern African Development Community's protocol on shared watercourses as a legal instrument through which transboundary obligations could in principle be pursued (Eckstein, 2017; KII-Pallett). Van Wyk extends the argument further. The transboundary character of the aquifer, in her assessment, opens an international legal forum that would not be available if the resource at issue were purely domestic. Where domestic remedies have been exhausted, the International Court of Justice provides a venue through which transboundary water-resource obligations can be litigated. The option is available because Namibia has ratified the relevant international instruments [KII-vanWyk]. Whether such a route would be substantively viable in this case is a separate question that this report does not seek to settle. What the empirical material establishes is that the transboundary character of the resource has expanded the universe of potential institutional forums beyond those available in the domestic legal architecture documented in §5.3.</w:t>
      </w:r>
    </w:p>
    <w:p>
      <w:pPr>
        <w:spacing w:before="40" w:after="160" w:line="300" w:lineRule="auto"/>
      </w:pPr>
      <w:r>
        <w:rPr>
          <w:rFonts w:ascii="Calibri" w:hAnsi="Calibri"/>
          <w:b w:val="0"/>
          <w:i w:val="0"/>
          <w:sz w:val="22"/>
        </w:rPr>
        <w:t>Water-dependence is the structural feature of the case that does the most analytical work. It anchors the empirical baseline of the affected communities' relation to the project. It is the lens through which every other disagreement about the project is interpreted. It generates a cross-sector cascade whose consequences extend well beyond the immediate host area. And it carries the case from a domestic regulatory question into the transboundary legal architecture, in which the SLO question can no longer be resolved within Namibian institutional boundaries alone. The next section turns to a second non-substitutability that complicates the water-dependence picture further: the non-substitutability of place itself.</w:t>
      </w:r>
    </w:p>
    <w:p>
      <w:pPr>
        <w:spacing w:before="200" w:after="120"/>
      </w:pPr>
      <w:r>
        <w:rPr>
          <w:rFonts w:ascii="Calibri" w:hAnsi="Calibri"/>
          <w:b/>
          <w:i w:val="0"/>
          <w:color w:val="1F3864"/>
          <w:sz w:val="28"/>
        </w:rPr>
        <w:t>5.6  Place attachment and non-relocability</w:t>
      </w:r>
    </w:p>
    <w:p>
      <w:pPr>
        <w:spacing w:before="40" w:after="160" w:line="300" w:lineRule="auto"/>
      </w:pPr>
      <w:r>
        <w:rPr>
          <w:rFonts w:ascii="Calibri" w:hAnsi="Calibri"/>
          <w:b w:val="0"/>
          <w:i w:val="0"/>
          <w:sz w:val="22"/>
        </w:rPr>
        <w:t>The water-dependence dynamic documented in the preceding section combines with a second, structurally distinct non-substitutability: the non-substitutability of place itself. The Phase 1 farmer survey (Keulder, 2026c) reports that almost half of surveyed farm households have been in the same family for more than fifty years, with 21.6 per cent in the same family for seventy-five years or more. The Aminuis and Leonardville focus groups register the same condition in their own terms. Across the corpus, relocation is described as neither financially feasible nor culturally acceptable. The section examines what that condition does to the legitimacy environment in two steps. The first establishes the empirical depth of place attachment across the corpus. The second draws out the analytical implication: where exit is structurally unavailable, consent becomes structurally compromised. The structural force of this non-relocability is intensified once the basin-wide licensing footprint examined in §6.2.7 of Chapter 6 is brought into view. The town of Stampriet itself sits inside fully claimed uranium-exploration tenements held by Green Mining (Pty) Ltd, and the Headspring orebodies near Leonardville form one component of a basin-wide programme covering approximately 59 per cent of the SAB across multiple corporate entities. The non-relocability documented at the household level in this section operates against a licensing landscape that is itself basin-wide.</w:t>
      </w:r>
    </w:p>
    <w:p>
      <w:pPr>
        <w:spacing w:before="40" w:after="160" w:line="300" w:lineRule="auto"/>
      </w:pPr>
      <w:r>
        <w:rPr>
          <w:rFonts w:ascii="Calibri" w:hAnsi="Calibri"/>
          <w:b w:val="0"/>
          <w:i w:val="0"/>
          <w:sz w:val="22"/>
        </w:rPr>
        <w:t>The empirical evidence of place attachment is converging across source-types and across communities. The Phase 1 survey's intergenerational ownership findings (24.7 per cent of surveyed farms in the same family for 50 to 74 years, 15.4 per cent for 75 to 99 years, and 6.2 per cent for a century or more) translate, in the sociological literature on place that the survey draws on (Relph, 1976; Tuan, 1977; Williams and Vaske, 2003), into what is termed place attachment: emotional, cultural, and experiential bonds developed through long-term occupation of particular landscapes. The Aminuis women's agricultural group articulates the same condition without theoretical vocabulary: 'most of us have lived here for a very long time, some said since the time of the war. This is our home. Leaving is not easy. Even where there are problems, people stay because they do not have real alternatives' [FG-Aminuis-1]. The Aminuis men's group makes the analytical move directly: 'it is not easy to leave this place. So if the water is damaged, we cannot just say people should move. That is not a simple thing' [FG-Aminuis-2]. In Leonardville the framing is different in tone but equivalent in substance. The Leonardville unemployed-youth group describes Leonardville as 'everything', and as a place of pride, comfort, and safety, with members observing that those who leave to study often return when they can [FG-Leonardville-1]. The Leonardville mixed-unemployed group registers the same attachment alongside a structural constraint: relocation is not simple because housing elsewhere is unaffordable for most households [FG-Leonardville-2]. The sectoral and technical interviewees corroborate. Koujo identifies cattle farming, land attachment, and a sense of place as central to life in Aminuis, with the implication that resettlement plans for affected communities would face cultural as well as logistical obstacles [KII-Koujo]. UNESCO's interviewees observe that most affected residents (including communal farmers) do not want to leave where they live, and that the practical question of where they would go has no obvious answer [KII-UNESCO]. Klein adds the agricultural-economic version: the farmer's pension is the land itself, and the value of that pension is conditional on the marketability of the land, which a contamination scenario would compromise [KII-Klein]. The international literature on place attachment in environmental risk contexts treats this convergence as analytically predictable. Devine-Wright (2009) and Adger et al. (2011) document that communities with strong place attachment respond to environmental threats more intensely than communities without, and that mining and infrastructure conflicts emerge not only from economic concerns but from perceived threats to 'valued places and ways of life'.</w:t>
      </w:r>
    </w:p>
    <w:p>
      <w:pPr>
        <w:spacing w:before="40" w:after="160" w:line="300" w:lineRule="auto"/>
      </w:pPr>
      <w:r>
        <w:rPr>
          <w:rFonts w:ascii="Calibri" w:hAnsi="Calibri"/>
          <w:b w:val="0"/>
          <w:i w:val="0"/>
          <w:sz w:val="22"/>
        </w:rPr>
        <w:t>The analytical implication of the empirical pattern is consequential for the SLO argument the chapter is building. Where the resource at issue is non-substitutable, as §5.5 established, the standard SLO calculus does not operate. Where place is also non-substitutable, as this section establishes, the standard SLO recovery mechanism that depends on the availability of exit as a viable alternative is also unavailable. The argument runs as follows. In the international SLO literature, the implicit assumption is that affected stakeholders who reject a project's terms retain the option of disengaging from it: they may move, sell, withdraw, or otherwise exit the affected area. That option is what makes consent meaningful in the standard framework, because consent obtained under conditions where exit is available is analytically different from consent obtained under conditions where it is not (Owen and Kemp, 2017). The case displays the structural absence of exit in two reinforcing forms. The first is economic. The Aminuis and Leonardville households, and the surveyed farm households in the wider STAS area, do not have the financial resources to relocate. The Phase 1 survey records that 31.7 per cent of households would respond to confirmed contamination by exiting farming permanently. But exit from farming is not the same as exit from the area, and the survey's account of household indebtedness and asset position suggests that exit from the area itself is not financially viable for most respondents (Keulder, 2026c). The second is legal and constitutional. Van Wyk identifies the structural asymmetry in Namibian land law between commercial and communal land. Communal land enjoys less protection than commercial land under expropriation and valuation frameworks, and the historical pattern of displacement from which Aminuis itself emerges has not been corrected by the post-independence land settlement [KII-vanWyk]. The result is that for the communal landholders of the Aminuis constituency, the legal entitlement to resist displacement is structurally weaker than that available to the commercial landholders of the Leonardville surrounds. The legal asymmetry compounds the economic and cultural asymmetries already documented.</w:t>
      </w:r>
    </w:p>
    <w:p>
      <w:pPr>
        <w:spacing w:before="40" w:after="160" w:line="300" w:lineRule="auto"/>
      </w:pPr>
      <w:r>
        <w:rPr>
          <w:rFonts w:ascii="Calibri" w:hAnsi="Calibri"/>
          <w:b w:val="0"/>
          <w:i w:val="0"/>
          <w:sz w:val="22"/>
        </w:rPr>
        <w:t>The combination of non-substitutable water and non-substitutable place is the structural condition that the Plan B argument across the corpus has been articulating in different vocabularies throughout the chapter. The Aminuis youth group's question ('who would tell the truth, who would monitor, who would be accountable?' [FG-Aminuis-3]) is not a procedural concern about contingency planning. It is a recognition that no contingency plan can adequately compensate for the loss of a resource that is non-substitutable in a location that is itself non-substitutable. The Council's framing ('if the water is affected, what then?' [KII-Council-LV]) points to the same structural condition. The next section turns to the gradient along which this combined non-substitutability operates differently across the two communities at the centre of the study. The point is not that Aminuis and Leonardville hold opposing positions. It is that the same structural condition (water and place both non-substitutable) produces different surface effects depending on a community's proximity to the project's direct activity and on the density of information available to it.</w:t>
      </w:r>
    </w:p>
    <w:p>
      <w:pPr>
        <w:spacing w:before="200" w:after="120"/>
      </w:pPr>
      <w:r>
        <w:rPr>
          <w:rFonts w:ascii="Calibri" w:hAnsi="Calibri"/>
          <w:b/>
          <w:i w:val="0"/>
          <w:color w:val="1F3864"/>
          <w:sz w:val="28"/>
        </w:rPr>
        <w:t>5.7  The Aminuis-Leonardville gradient</w:t>
      </w:r>
    </w:p>
    <w:p>
      <w:pPr>
        <w:spacing w:before="40" w:after="160" w:line="300" w:lineRule="auto"/>
      </w:pPr>
      <w:r>
        <w:rPr>
          <w:rFonts w:ascii="Calibri" w:hAnsi="Calibri"/>
          <w:b w:val="0"/>
          <w:i w:val="0"/>
          <w:sz w:val="22"/>
        </w:rPr>
        <w:t>The preceding five sections established the conditions under which people in this case decide whether the project is legitimate: a thin information environment, a fragmented trust environment, a political economy that shapes what voluntary consent can mean, and the brute fact that neither water nor place admits a substitute. These conditions hold across the corpus. They do not, however, press on Aminuis and Leonardville with equal weight. The same conditions, recurrent throughout the chapter, produce different surface effects in the two communities, and the difference itself is the pattern this section examines.</w:t>
      </w:r>
    </w:p>
    <w:p>
      <w:pPr>
        <w:spacing w:before="40" w:after="160" w:line="300" w:lineRule="auto"/>
      </w:pPr>
      <w:r>
        <w:rPr>
          <w:rFonts w:ascii="Calibri" w:hAnsi="Calibri"/>
          <w:b w:val="0"/>
          <w:i w:val="0"/>
          <w:sz w:val="22"/>
        </w:rPr>
        <w:t>Two cautions are worth registering at the outset. First, Aminuis and Leonardville do not hold opposing positions on the project. The gradient is not a polarisation. Second, the gradient does not run on different values or different vulnerabilities. It runs on a different history of contact with the proponent. From here, the argument moves in three steps: what the two communities share, where they diverge, and what the divergence tells us about the method this chapter has quietly been enacting.</w:t>
      </w:r>
    </w:p>
    <w:p>
      <w:pPr>
        <w:spacing w:before="40" w:after="160" w:line="300" w:lineRule="auto"/>
      </w:pPr>
      <w:r>
        <w:rPr>
          <w:rFonts w:ascii="Calibri" w:hAnsi="Calibri"/>
          <w:b w:val="0"/>
          <w:i w:val="0"/>
          <w:sz w:val="22"/>
        </w:rPr>
        <w:t>A brief clarification of administrative geography is required at the outset, because the terms 'Aminuis' and 'Leonardville' do not denote two separate constituencies but two distinct settlement formations within the same constituency in Omaheke Region. Leonardville is a proclaimed village under the Local Authorities Act administered by its own Village Council. The Aminuis communal land, by contrast, is an Otjiherero-speaking pastoral communal area administered through traditional and regional authority structures. Following the 2024 delimitation, both fall within the Aminuis Constituency of Omaheke Region, but they remain functionally distinct in their settlement pattern, economic base, governance arrangements, and exposure to the project. Where the chapter refers to 'Aminuis' it denotes the communal-area settlements from which Aminuis focus groups were drawn (and which the Aminuis-based key-informant Koujo represents in his traditional-authority capacity). Where it refers to 'Leonardville' it denotes the Village Council jurisdiction and the local-stakeholder population in and around the town. The two are co-constituents of the same political-administrative unit but distinct sociological communities for the purposes of this study.</w:t>
      </w:r>
    </w:p>
    <w:p>
      <w:pPr>
        <w:spacing w:before="40" w:after="160" w:line="300" w:lineRule="auto"/>
      </w:pPr>
      <w:r>
        <w:rPr>
          <w:rFonts w:ascii="Calibri" w:hAnsi="Calibri"/>
          <w:b w:val="0"/>
          <w:i w:val="0"/>
          <w:sz w:val="22"/>
        </w:rPr>
        <w:t>What the two communities share is more substantial than what divides them. In every focus group, water carried the heaviest analytical load, surfacing in talk about jobs, about consultation, about whether children would still want to grow up there [FG-Aminuis-1; FG-Aminuis-2; FG-Aminuis-3; FG-Leonardville-1; FG-Leonardville-2; FG-Leonardville-3]. Place attachment was universal, but framed in different idioms. Aminuis residents anchored theirs in multi-generational settlement on communal land. Leonardville residents in pride, comfort, and the gravitational pull that brings people back to a small town [FG-Aminuis-1; FG-Leonardville-1; FG-Leonardville-2]. The absence of a credible Plan B against contamination registered identically in both places. The Aminuis youth group's question (who would tell the truth, monitor, and be accountable?) and the Leonardville youth group's flat 'we are not prepared for that' are the same observation about the same structural absence [FG-Aminuis-3; FG-Leonardville-3]. Distrust of the proponent's communications surfaced in both communities, even where Leonardville also acknowledged the visible benefits of the company's social spend. The convergences matter because they confirm what the gradient is not. It is not a difference in values, in concern, or in standing. It is a difference in how the same conditions are lived.</w:t>
      </w:r>
    </w:p>
    <w:p>
      <w:pPr>
        <w:spacing w:before="40" w:after="160" w:line="300" w:lineRule="auto"/>
      </w:pPr>
      <w:r>
        <w:rPr>
          <w:rFonts w:ascii="Calibri" w:hAnsi="Calibri"/>
          <w:b w:val="0"/>
          <w:i w:val="0"/>
          <w:sz w:val="22"/>
        </w:rPr>
        <w:t>The dimensions along which the gradient runs can be grouped into four clusters that Matrix 2 sets out in detail. The first cluster concerns proximity to direct project activity. Aminuis has had limited direct exposure to the company's exploration phase: no drilling occurred in the constituency, and the company's footprint in the area is constituted principally by occasional meetings with selected traditional leaders rather than by visible operational presence [FG-Aminuis-2; FG-Aminuis-3; KII-Koujo]. Leonardville, by contrast, lived through the 2018 to 2021 drilling phase as a direct economic event. The Leonardville unemployed-residents group describes that phase as a period in which household incomes rose, informal trade increased, the town was demonstrably livelier, and 'when the drilling stopped, the hunger came back' [FG-Leonardville-3]. The implication for the chapter's argument is that Leonardville's hopefulness about the proposed project is empirically grounded in remembered economic uplift, while Aminuis's hopefulness, to the extent that it exists, is hypothetical. The two communities are not differently disposed toward economic benefit. They are differently positioned in their experience of it. The qualification §6.2.7 of Chapter 6 then adds is that the visible Leonardville drilling phase is one component of a continuously expanding basin-wide EPL programme that extends beyond either community's immediate horizon, a licensing landscape neither community has been consulted on at the basin scale and one that materially affects the meaning of 'proximity' as that meaning is registered at the community level here.</w:t>
      </w:r>
    </w:p>
    <w:p>
      <w:pPr>
        <w:spacing w:before="40" w:after="160" w:line="300" w:lineRule="auto"/>
      </w:pPr>
      <w:r>
        <w:rPr>
          <w:rFonts w:ascii="Calibri" w:hAnsi="Calibri"/>
          <w:b w:val="0"/>
          <w:i w:val="0"/>
          <w:sz w:val="22"/>
        </w:rPr>
        <w:t>The second cluster concerns the density of the company's social-investment footprint. Across all three Leonardville focus groups and the Village Council interview, the company's investment in school library and kitchen facilities, food parcels, training opportunities, and medical outreach is registered as a substantive material contribution to the community [FG-Leonardville-1; FG-Leonardville-2; FG-Leonardville-3; KII-Council-LV]. Across all three Aminuis focus groups, no comparable footprint is recorded. The Aminuis group most directly familiar with the company's presence describes one cancelled meeting and some sponsorship activity, principally football, that has touched the community at the margins [FG-Aminuis-3]. The asymmetry is consequential. Aminuis is structurally part of the consequential community that the aquifer connects to the project, but it has been materially excluded from the social-investment footprint through which the company has sought to build local acceptance in Leonardville. The implication, drawing on Owen and Kemp's (2013) critique, is that the company's social licence in Leonardville has been pursued through CSR investment that has not been extended to Aminuis, with the result that Aminuis bears the same potential downside risk on a far weaker investment-of-benefit base.</w:t>
      </w:r>
    </w:p>
    <w:p>
      <w:pPr>
        <w:spacing w:before="40" w:after="160" w:line="300" w:lineRule="auto"/>
      </w:pPr>
      <w:r>
        <w:rPr>
          <w:rFonts w:ascii="Calibri" w:hAnsi="Calibri"/>
          <w:b w:val="0"/>
          <w:i w:val="0"/>
          <w:sz w:val="22"/>
        </w:rPr>
        <w:t>The third cluster concerns information density and channel diversity. The Aminuis focus groups describe an information environment in which the proposed project is known principally through radio, newspaper advertisements that arrive late if at all, and informal community talk [FG-Aminuis-1; FG-Aminuis-2]. The Leonardville focus groups describe an information environment in which the company has held hall events, distributed materials, and provided training-related information sessions that registered substantively with participants even where the underlying claims went unverified [FG-Leonardville-1; FG-Leonardville-2]. The result is that Aminuis residents typically picture the proposed operation as a conventional open-pit mine (boreholes are not part of the operative mental model) while Leonardville residents are more likely to have heard the company's safety-related claims, even if they have not been in a position to evaluate them independently. This information-density gradient is the principal mechanism through which §5.2's information-deficit argument operates differently across the two communities. Both have an information deficit. Aminuis's deficit is structural exclusion from any substantive information about the project. Leonardville's deficit is a reliance on company-mediated information without independent corroboration.</w:t>
      </w:r>
    </w:p>
    <w:p>
      <w:pPr>
        <w:spacing w:before="40" w:after="160" w:line="300" w:lineRule="auto"/>
      </w:pPr>
      <w:r>
        <w:rPr>
          <w:rFonts w:ascii="Calibri" w:hAnsi="Calibri"/>
          <w:b w:val="0"/>
          <w:i w:val="0"/>
          <w:sz w:val="22"/>
        </w:rPr>
        <w:t>The fourth cluster concerns the inflection of distrust in local political and patronage networks. In Aminuis, distrust of government surfaces principally in the form of perceived exclusion: decisions are being made elsewhere, by people who do not consult the affected community, on a project the community has limited material involvement with [FG-Aminuis-1; FG-Aminuis-2]. In Leonardville, distrust of government surfaces principally in the form of patronage and elite-capture concerns: the Leonardville unemployed-youth group describes opportunities as flowing 'through networks of family and preference rather than through fair communication'; the mixed-unemployed group observes that community representatives who attend meetings do not always report back honestly to the community [FG-Leonardville-1; FG-Leonardville-3]. The two distrust patterns are inflectionally different but structurally connected. They are different mechanisms by which the same underlying condition (a state-and-elite architecture that does not credibly represent the interests of the affected community) surfaces in the empirical material. Van Wyk's identification of the legal asymmetry between communal and commercial land protection adds a constitutional dimension to this cluster: the legal entitlement to resist displacement, like the social-investment footprint, runs against Aminuis [KII-vanWyk]. The gradient does not run only along proximity-to-benefit. It runs also along legal-institutional position.</w:t>
      </w:r>
    </w:p>
    <w:p>
      <w:pPr>
        <w:spacing w:before="40" w:after="160" w:line="300" w:lineRule="auto"/>
      </w:pPr>
      <w:r>
        <w:rPr>
          <w:rFonts w:ascii="Calibri" w:hAnsi="Calibri"/>
          <w:b w:val="0"/>
          <w:i w:val="0"/>
          <w:sz w:val="22"/>
        </w:rPr>
        <w:t>The four-cluster gradient is the chapter's methodological commitment made empirically visible. If §§5.2 to 5.6 argued that the chapter's structural choice was not to organise by source-type, §5.7 demonstrates why that choice was correct. The Aminuis and Leonardville focus groups, taken as community-level evidence, do not register as two separate positions on the same question. They register as evidence of how the same structural conditions are experienced differently from different positions within the gradient. The hopefulness of the Leonardville drilling-phase memory and the cautious openness of the Aminuis youth group are not opposing positions on the project. They are the same fundamental orientation (a recognition that any project of this scale in this place must navigate water, place, information, trust, and consultation simultaneously) refracted through different empirical exposures and different legal-institutional positions. The same observation applies to the sectoral and technical KIIs. Klein, Schneider, Van Rooyen, and Bezuidenhout do not occupy a position above or beyond the community evidence. They occupy positions adjacent to it, registering the same structural conditions in the analytical vocabularies their professional disciplines provide. The chapter's central empirical finding (that distrust is multi-directional, that water and place are jointly non-substitutable, that the information environment has structurally compromised the conditions of legitimacy) is made visible precisely because the chapter has resisted the temptation to read source-type as analytical position. The next section closes the chapter by setting out what this layered legitimacy environment means for any subsequent positional or recommendation analysis.</w:t>
      </w:r>
    </w:p>
    <w:p>
      <w:pPr>
        <w:spacing w:before="200" w:after="120"/>
      </w:pPr>
      <w:r>
        <w:rPr>
          <w:rFonts w:ascii="Calibri" w:hAnsi="Calibri"/>
          <w:b/>
          <w:i w:val="0"/>
          <w:color w:val="1F3864"/>
          <w:sz w:val="28"/>
        </w:rPr>
        <w:t>5.8  A layered legitimacy environment</w:t>
      </w:r>
    </w:p>
    <w:p>
      <w:pPr>
        <w:spacing w:before="40" w:after="160" w:line="300" w:lineRule="auto"/>
      </w:pPr>
      <w:r>
        <w:rPr>
          <w:rFonts w:ascii="Calibri" w:hAnsi="Calibri"/>
          <w:b w:val="0"/>
          <w:i w:val="0"/>
          <w:sz w:val="22"/>
        </w:rPr>
        <w:t>The preceding sections have documented, on the basis of seventeen sources and an evidence base that triangulates qualitative and documentary material, the conditions under which any social licence to operate for the proposed Headspring Investments and Uranium One Group in-situ recovery uranium project would have to be negotiated. This concluding section summarises what the chapter has established, names the analytical claim the chapter as a whole has been making, and points forward to the work that Chapters 6 and 7 will take up.</w:t>
      </w:r>
    </w:p>
    <w:p>
      <w:pPr>
        <w:spacing w:before="40" w:after="160" w:line="300" w:lineRule="auto"/>
      </w:pPr>
      <w:r>
        <w:rPr>
          <w:rFonts w:ascii="Calibri" w:hAnsi="Calibri"/>
          <w:b w:val="0"/>
          <w:i w:val="0"/>
          <w:sz w:val="22"/>
        </w:rPr>
        <w:t>Six structural conditions have been documented. The first is an information environment in which the consultation requirements of the Environmental Management Act have been met procedurally but not substantively, and in which the same deficit surfaces across every source-type in the corpus regardless of position or sector (§5.2). The second is a trust environment that extends in at least seven directions simultaneously: to the proponent, to the parliamentary process, to the relevant ministries, to the scientific data on which any future decision would have to rest, to the licensing and consultation processes themselves, to local political and patronage networks, and to the legal recourse and remedy mechanisms that would in principle provide redress (§5.3). The third is a political-economic baseline of severe unemployment, weak service delivery, and chronic development deficit, which shapes the conditions under which any project's promises are received and against which any project's risks are weighed (§5.4). The fourth is the non-substitutability of water as a resource: structural, absolute, recognised in law as warranting elevated protection, and the lens through which every other dimension of the project is interpreted (§5.5). The fifth is the non-substitutability of place: empirically documented across both communities and the Phase 1 survey, and consequential because it converts the absence of an exit option into a structural condition of the SLO architecture itself (§5.6). The sixth, examined in §5.7, is the gradient through which these five conditions express themselves differently across the two communities at the centre of the study. Not as opposing positions, but as different surface effects of the same underlying conditions.</w:t>
      </w:r>
    </w:p>
    <w:p>
      <w:pPr>
        <w:spacing w:before="40" w:after="160" w:line="300" w:lineRule="auto"/>
      </w:pPr>
      <w:r>
        <w:rPr>
          <w:rFonts w:ascii="Calibri" w:hAnsi="Calibri"/>
          <w:b w:val="0"/>
          <w:i w:val="0"/>
          <w:sz w:val="22"/>
        </w:rPr>
        <w:t>The claim the chapter as a whole has been building is the one that the conjunction of these six conditions makes available. The conditions documented in §§5.2 through 5.7 are not a peripheral defect of an otherwise functioning legitimacy environment. They are the substantive content of the legitimacy environment as it currently stands. The formulation has direct consequences for any subsequent positional or recommendation analysis. It means that the standard SLO recovery strategies the international literature catalogues (additional consultation, expanded community development funds, intensified information campaigns, the introduction of independent third parties to mediate) are not procedural interventions to be applied within a working framework. They are confronted, in this case, by a structural condition in which each new measure introduced to address the trust deficit must itself acquire credibility under conditions in which credibility is the contested category; in which the information environment has been compromised in ways that confirm rather than challenge the affected stakeholders' reading of it; in which water and place are jointly non-substitutable in ways that foreclose the exit option on which standard consent frameworks implicitly rely; and in which the multi-directional trust environment has run out of meaningful institutional mediators. The chapter does not argue that the project should or should not proceed. It documents the conditions under which any subsequent decision about the project would be made. Those conditions are the substantive object the next two chapters take up.</w:t>
      </w:r>
    </w:p>
    <w:p>
      <w:pPr>
        <w:spacing w:before="40" w:after="160" w:line="300" w:lineRule="auto"/>
      </w:pPr>
      <w:r>
        <w:rPr>
          <w:rFonts w:ascii="Calibri" w:hAnsi="Calibri"/>
          <w:b w:val="0"/>
          <w:i w:val="0"/>
          <w:sz w:val="22"/>
        </w:rPr>
        <w:t>Chapter 6 examines the positional architecture available within this legitimacy environment. It does so under an explicit evidentiary discipline that distinguishes four channels through which positions on the proposed Headspring project can be identified: documented organisational positions in the public record, aggregated community-level positions from the focus groups and the Village Council, individual informed-observer accounts from named key informants positioned within the field, and structural absences in the documented record. Within this discipline, Chapter 6 develops a six-position community typology (principled refusers, conditional refusers, wait-and-see, pragmatic acquiescence, materially-dependent ambivalence, and reluctant inclusion) and maps the documented and aggregated field onto Boutilier's (2014) four-level social-licence pyramid, identifying the structural and procedural conditions a defensible licence in this case would require. Chapter 7 then returns to the conceptual framework developed in Chapter 3, examines where the case confirms, qualifies, or extends the international SLO literature, and considers the policy and regulatory implications of the analysis. Both subsequent chapters take the layered legitimacy environment documented here as their starting point. They do not relitigate it. The argument the present chapter has built is that this layered legitimacy environment is the substantive condition under which the SLO question must now be addressed. What that question requires of the project, of the regulator, of the affected communities, and of the international literature is the subject of what follows.</w:t>
      </w:r>
    </w:p>
    <w:p>
      <w:pPr>
        <w:pBdr>
          <w:bottom w:val="single" w:sz="6" w:space="1" w:color="BFBFBF"/>
        </w:pBdr>
      </w:pPr>
    </w:p>
    <w:p>
      <w:pPr>
        <w:spacing w:before="160"/>
      </w:pPr>
      <w:r>
        <w:rPr>
          <w:rFonts w:ascii="Calibri" w:hAnsi="Calibri"/>
          <w:b w:val="0"/>
          <w:i/>
          <w:color w:val="7F7F7F"/>
          <w:sz w:val="20"/>
        </w:rPr>
        <w:t>Complete revised draft of Chapter 5.</w:t>
      </w:r>
      <w:r>
        <w:rPr>
          <w:rFonts w:ascii="Calibri" w:hAnsi="Calibri"/>
          <w:b w:val="0"/>
          <w:i/>
          <w:color w:val="7F7F7F"/>
          <w:sz w:val="20"/>
        </w:rPr>
        <w:t xml:space="preserve"> All eight sections (5.1 through 5.8) rewritten in the touchstone voice. No em dashes. Inline plain-English definition of 'structural conditions of legitimacy' in the chapter abstract. Citations and source codes preserved exactly.</w:t>
      </w:r>
    </w:p>
    <w:p>
      <w:r>
        <w:br w:type="page"/>
      </w:r>
    </w:p>
    <w:p>
      <w:pPr>
        <w:jc w:val="center"/>
      </w:pPr>
      <w:r>
        <w:rPr>
          <w:b/>
          <w:color w:val="595959"/>
          <w:sz w:val="26"/>
        </w:rPr>
        <w:t>CHAPTER 6</w:t>
      </w:r>
    </w:p>
    <w:p>
      <w:pPr>
        <w:jc w:val="center"/>
      </w:pPr>
      <w:r>
        <w:rPr>
          <w:b/>
          <w:color w:val="1F3864"/>
          <w:sz w:val="44"/>
        </w:rPr>
        <w:t>THE ARCHITECTURE OF POSITIONS, OBSERVATIONS</w:t>
        <w:br/>
        <w:t>AND ABSENCES</w:t>
      </w:r>
    </w:p>
    <w:p>
      <w:pPr>
        <w:jc w:val="center"/>
      </w:pPr>
      <w:r>
        <w:rPr>
          <w:i/>
          <w:color w:val="595959"/>
          <w:sz w:val="24"/>
        </w:rPr>
        <w:t>Documentary record, aggregated community sentiment and individual informed observation in the field of contestation around the proposed Headspring uranium in-situ leach mining project in the Stampriet Transboundary Aquifer System (STAS)</w:t>
      </w:r>
    </w:p>
    <w:p/>
    <w:p/>
    <w:p>
      <w:pPr>
        <w:spacing w:before="280" w:after="120"/>
      </w:pPr>
      <w:r>
        <w:rPr>
          <w:b/>
          <w:color w:val="1F3864"/>
          <w:sz w:val="27"/>
        </w:rPr>
        <w:t>Chapter abstract</w:t>
      </w:r>
    </w:p>
    <w:p>
      <w:pPr>
        <w:spacing w:line="336" w:lineRule="auto" w:after="160"/>
        <w:jc w:val="both"/>
      </w:pPr>
      <w:r>
        <w:rPr>
          <w:i w:val="0"/>
          <w:sz w:val="23"/>
        </w:rPr>
        <w:t>Chapter 5 established the structural conditions under which legitimacy can or cannot be granted: a thin and contested information environment, a seven-direction trust environment, the non-substitutability of water in a Kalahari pastoralist economy, place attachment in non-relocable communities, and a gradient running between Aminuis principled refusal and Leonardville materially-conditioned ambivalence. Chapter 6 turns from those conditions to the positions taken within them. It does so under a methodologically explicit constraint. Positions ascribed to organisations are drawn only from the documented public record (press releases, court filings, parliamentary submissions, ministerial correspondence, opinion pieces issued under the institution's communicative voice, and media interviews given in institutional capacity). Community-level positions are aggregated from the qualitative corpus where the focus group or the Village Council is the unit of analysis. Individual key informant accounts are treated as informed observation of the field, analytically useful but not equivalent to the organisations the informants happen to work within. A fourth category, structural absences, captures positions one would expect to find in the documented record but cannot locate. The chapter shows that, across the field of contestation, the organisations carrying the documentary weight of refusal of the project are numerous, technically literate, and convergent on the same hydrogeological and procedural concerns; the organisations carrying the documentary weight of support are few, industrially aligned, and reliant on procedural rather than substantive argument; and the most consequential silences lie in the governing party, the downstream states, the formal village councils, and organised labour. The architecture of positions, observations, and absences that emerges is incompatible with the conditions a defensible social licence would require.</w:t>
      </w:r>
    </w:p>
    <w:p>
      <w:pPr>
        <w:spacing w:before="360" w:after="120"/>
      </w:pPr>
      <w:r>
        <w:rPr>
          <w:b/>
          <w:color w:val="1F3864"/>
          <w:sz w:val="32"/>
        </w:rPr>
        <w:t>6.1  Introduction: from conditions to positions, under a discipline of evidence</w:t>
      </w:r>
    </w:p>
    <w:p>
      <w:pPr>
        <w:spacing w:line="336" w:lineRule="auto" w:after="160"/>
        <w:jc w:val="both"/>
      </w:pPr>
      <w:r>
        <w:rPr>
          <w:i w:val="0"/>
          <w:sz w:val="23"/>
        </w:rPr>
        <w:t>Chapter 5 set out the structural ground on which any consent to the Headspring project in the STAS would have to stand. The information environment is sparse and asymmetric. The trust environment extends across seven institutional directions and offers the affected community a clean target in none of them. The political economy of poverty in the Omaheke region makes openness to investment a function of unemployment rather than of confidence in the project. Water in this pastoralist landscape cannot be substituted for other inputs and cannot be moved. Place attachment in Aminuis and in the older households of Leonardville is non-relocable in the literal sense that the people who hold it have nowhere else to go. And the Aminuis-Leonardville gradient shows that distance from the project site matters less than the structure of livelihood opportunities along that gradient. Taken together, these conditions form the field in which positions on the project become possible. They do not yet tell us who holds which position, on what evidentiary basis, or what kind of consent the documented field is capable of producing.</w:t>
      </w:r>
    </w:p>
    <w:p>
      <w:pPr>
        <w:spacing w:line="336" w:lineRule="auto" w:after="160"/>
        <w:jc w:val="both"/>
      </w:pPr>
      <w:r>
        <w:rPr>
          <w:i w:val="0"/>
          <w:sz w:val="23"/>
        </w:rPr>
        <w:t>This chapter takes up that question, but under a discipline that the structure of the corpus itself demands. The seventeen-source qualitative corpus (focus groups conducted in Aminuis and Leonardville, key informant interviews with named individuals positioned within civil society, scientific, legal, and ministerial settings, and a Village Council interview) is rich, purposive, and analytically dense. It is not, however, a record of organisational positions. A lawyer at the Legal Assistance Centre (LAC) who speaks to a researcher about procedural inadequacies in the environmental impact assessment process is not thereby committing the LAC as an organisation to a position on the Headspring project. A practitioner at the Environmental Compliance Consultancy (ECC) who describes the consultation work she did in 2019 is not the ECC's institutional voice. A ministerial official who shares with an interviewer his frustrations about inter-ministerial fragmentation is not the ministry. Conflating these individual interpretations with the organisations the informants work within would misrepresent the evidence and weaken the analytical ambition of the chapter, because what is at stake in any inquiry into social licence is precisely the public, institutional, attributable position-taking that opens the project to scrutiny and contest (Owen and Kemp, 2017; Bice, 2014).</w:t>
      </w:r>
    </w:p>
    <w:p>
      <w:pPr>
        <w:spacing w:line="336" w:lineRule="auto" w:after="160"/>
        <w:jc w:val="both"/>
      </w:pPr>
      <w:r>
        <w:rPr>
          <w:i w:val="0"/>
          <w:sz w:val="23"/>
        </w:rPr>
        <w:t>The chapter therefore distinguishes four evidentiary channels through which positions on the project can be identified. The first channel is the documented organisational position: a statement made by an institution acting in its institutional capacity through a verifiable record (a press release, a court filing, a parliamentary submission, an official letter, an opinion piece authored under the institution's communicative voice, or a media interview given on behalf of the institution by a person whose authority to speak for it is clear). The second channel is the aggregated community-level position: a position inferable from the convergence of testimony within a focus group or across multiple focus groups in the same community, where the focus group is the unit of analysis and the aggregation is what the methodology was designed to produce (Barbour, 2007; Morgan, 1997). The third channel is the individual informed-observer account: testimony from a key informant who is positioned within the field, who is professionally familiar with the project, and who offers an interpretation of how the field is configured. The fourth channel is the structural absence: a position one would expect to find in the documented record but cannot locate, in circumstances where the absence itself is evidence about how the field is constructed.</w:t>
      </w:r>
    </w:p>
    <w:p>
      <w:pPr>
        <w:spacing w:line="336" w:lineRule="auto" w:after="160"/>
        <w:jc w:val="both"/>
      </w:pPr>
      <w:r>
        <w:rPr>
          <w:i w:val="0"/>
          <w:sz w:val="23"/>
        </w:rPr>
        <w:t>These four channels do not carry equal evidentiary weight. The documented organisational position is the strongest: publicly attributable, time-stamped, and open to challenge. The aggregated community-level position is strong within the limits of the methodology: it speaks to how a community is situated, but does not commit any institution within that community to a stance. The individual informed-observer account is valuable as interpretation of the field (these are, by design, people who know the project closely), but cannot be extended to organisational position-taking. The structural absence is the most analytically demanding category, because to claim that a position is absent one must show that one has looked for it in the right places and not found it. Absence is a negative finding that requires positive evidence about the scope of the search.</w:t>
      </w:r>
    </w:p>
    <w:p>
      <w:pPr>
        <w:spacing w:line="336" w:lineRule="auto" w:after="160"/>
        <w:jc w:val="both"/>
      </w:pPr>
      <w:r>
        <w:rPr>
          <w:i w:val="0"/>
          <w:sz w:val="23"/>
        </w:rPr>
        <w:t>Operating this discipline produces a layered chapter. Documented organisational positions are presented in §6.2, drawn from a structured 2020 to 2026 open media search across Namibian general media, specialist mining and nuclear-industry publications, civil-society and intergovernmental sources, and the documentary corpus already incorporated into Chapter 5. The state's split position, which sits between §6.2's documented record and §6.3's analytical synthesis of state-level fragmentation, is treated in §6.3. The aggregated community-level positions are taken up in §6.4, which renders the typology of stances that emerges from the focus groups and the Village Council interview, and in which Figure 6.1 (the positional architecture of the affected communities along axes of material dependence and trust in the process) sits. Individual informed-observer accounts are reserved for §6.5, where they are treated honestly as interpretation of the field. The analytic work they do is real but bounded, and they are not extended to institutional position-taking. Structural absences are taken up in §6.6, which asks what is not in the documented record and what those silences reveal. The synthesis in §6.7 places the architecture of positions, observations, and absences against Boutilier's (2014) four-level conception of social licence (Figure 6.2) and shows that the project sits, at best, at the boundary between withholding and early acceptance, with approval and identification structurally unavailable through the present procedural arrangements.</w:t>
      </w:r>
    </w:p>
    <w:p>
      <w:pPr>
        <w:spacing w:line="336" w:lineRule="auto" w:after="160"/>
        <w:jc w:val="both"/>
      </w:pPr>
      <w:r>
        <w:rPr>
          <w:i w:val="0"/>
          <w:sz w:val="23"/>
        </w:rPr>
        <w:t>The research question this chapter is designed to answer is the following:</w:t>
      </w:r>
    </w:p>
    <w:p>
      <w:pPr>
        <w:spacing w:line="300" w:lineRule="auto" w:before="80" w:after="160"/>
        <w:ind w:left="567" w:right="283"/>
        <w:jc w:val="both"/>
      </w:pPr>
      <w:r>
        <w:rPr>
          <w:color w:val="262626"/>
          <w:sz w:val="21"/>
        </w:rPr>
        <w:t>How are positions on the proposed Headspring uranium project in the STAS constituted across the field of contestation, through documented organisational statements, through aggregated community sentiment, and through individual informed observation, and what does the distribution and asymmetry of these three evidentiary channels, together with the structural absences they reveal, indicate about the procedural conditions for social licence?</w:t>
      </w:r>
    </w:p>
    <w:p>
      <w:pPr>
        <w:spacing w:line="336" w:lineRule="auto" w:after="160"/>
        <w:jc w:val="both"/>
      </w:pPr>
      <w:r>
        <w:rPr>
          <w:i w:val="0"/>
          <w:sz w:val="23"/>
        </w:rPr>
        <w:t>The question is complementary to Chapter 5's. Where Chapter 5 asked what structural conditions shape the possibility of legitimate consent, Chapter 6 asks who is in a position to grant or refuse consent in this case, on what evidentiary basis, and what the pattern of presence and absence in the documentary record tells us about the procedural architecture of the project. The two questions share a substrate. The structural conditions identified in Chapter 5 (the information asymmetries, the trust environment, the political economy of poverty, the non-substitutability of water) are the same conditions that produce the pattern of voice and silence Chapter 6 now examines. To say, in Chapter 6, that organised labour has no documented position on a Russian-affiliated uranium project that promises hundreds of jobs is to make a finding whose explanation lies in Chapter 5's account of how voice is constituted in this field. The chapters are written to be read as a single argument, in two movements.</w:t>
      </w:r>
    </w:p>
    <w:p>
      <w:pPr>
        <w:spacing w:line="336" w:lineRule="auto" w:after="160"/>
        <w:jc w:val="both"/>
      </w:pPr>
      <w:r>
        <w:rPr>
          <w:i w:val="0"/>
          <w:sz w:val="23"/>
        </w:rPr>
        <w:t>Three further notes belong here, before §6.2 begins. First, in what follows the word 'position' is used in a deliberately narrow sense. It refers to a publicly visible stance on the project, attributable to a named organisation or to a defined community, on a stipulated date, on identifiable evidence. It does not refer to private opinion, to inferred preference, or to a stance that might exist within an organisation but has not been communicated. This narrowness is the price of the analytical discipline the chapter requires. Second, the evidentiary strength of each documented position is graded: strong where direct organisational quotation is available, moderate where clear attribution exists but the quotation is indirect, weak where only journalist paraphrase is available. The grading is reproduced in the supplementary matrix (Sheet 6 of the qualitative matrix workbook) to which the chapter refers throughout. Third, where individual informant accounts from the primary corpus converge with documented organisational positions on the same point, the convergence is noted but the two are not collapsed. The analytical interest lies precisely in seeing where individual observation and institutional position-taking align, where they diverge, and where institutional position-taking is missing altogether.</w:t>
      </w:r>
    </w:p>
    <w:p>
      <w:pPr>
        <w:spacing w:before="360" w:after="120"/>
      </w:pPr>
      <w:r>
        <w:rPr>
          <w:b/>
          <w:color w:val="1F3864"/>
          <w:sz w:val="32"/>
        </w:rPr>
        <w:t>6.2  Documented organisational positions in the public record</w:t>
      </w:r>
    </w:p>
    <w:p>
      <w:pPr>
        <w:spacing w:line="336" w:lineRule="auto" w:after="160"/>
        <w:jc w:val="both"/>
      </w:pPr>
      <w:r>
        <w:rPr>
          <w:i w:val="0"/>
          <w:sz w:val="23"/>
        </w:rPr>
        <w:t>This section presents the organisational positions on the project that are visible in the public documentary record covering the period from 2020 (when the Headspring permits were first issued) to the present. The positions are organised in four blocks: the proponent and its industry-aligned bodies; the state ministries and Parliament; civil society and farmers' bodies; and intergovernmental and international scientific organisations. The cumulative pattern, summarised at the close of the section, is asymmetric in two different senses, and the asymmetries are themselves part of the finding the chapter reports.</w:t>
      </w:r>
    </w:p>
    <w:p>
      <w:pPr>
        <w:spacing w:before="280" w:after="120"/>
      </w:pPr>
      <w:r>
        <w:rPr>
          <w:b/>
          <w:color w:val="1F3864"/>
          <w:sz w:val="27"/>
        </w:rPr>
        <w:t>6.2.1  The proponent and its industry-aligned voice</w:t>
      </w:r>
    </w:p>
    <w:p>
      <w:pPr>
        <w:spacing w:line="336" w:lineRule="auto" w:after="160"/>
        <w:jc w:val="both"/>
      </w:pPr>
      <w:r>
        <w:rPr>
          <w:i w:val="0"/>
          <w:sz w:val="23"/>
        </w:rPr>
        <w:t>The proponent's documented position is the most extensively recorded in the open archive. Headspring Investments, the Namibian subsidiary of the Rosatom-controlled Uranium One Group, has issued press statements, maintains a public-facing project website, and responds publicly to ministerial and parliamentary interventions. Its position is also visible through its host industry body, the Namibian Uranium Association (Headspring Investments, 2024a; Namibian Uranium Association, 2024). On the substantive merits of the project, the proponent's position is consistent across communications: in-situ leach extraction is presented as environmentally benign, water-efficient, and proven in international practice; the chemicals used are characterised as 'very weak, with an acidity (pH) similar to red wine or lemon juice'; and the post-mining geological environment is described as 'self-restoring' under the company's preferred 'self-restoration' method (Headspring Investments, 2024a). The proponent further frames the project as a national development opportunity, claiming that 'the project will act as a catalyst for the take-off of the Namibian economy, enabling it to soar to new heights of development and prosperity' (Headspring Investments, 2024a).</w:t>
      </w:r>
    </w:p>
    <w:p>
      <w:pPr>
        <w:spacing w:line="336" w:lineRule="auto" w:after="160"/>
        <w:jc w:val="both"/>
      </w:pPr>
      <w:r>
        <w:rPr>
          <w:i w:val="0"/>
          <w:sz w:val="23"/>
        </w:rPr>
        <w:t>Two features of this documented position deserve analytical attention. First, the rhetorical register (pH likened to red wine or lemon juice, post-extraction aquifers described as self-restoring) belongs to the long tradition of corporate-science communication that Kirsch (2014, pp. 4 to 9) describes as the strategic packaging of industrial chemistry in vernacular reassurance. The same register appears in the proponent's response to Schlettwein's February 2024 parliamentary statement: that response (Headspring Investments, 2024b) reframes the minister's documented concerns about non-compliance and aquifer risk as misunderstanding rather than as the substantive regulatory finding they were. Bice's (2014) argument that social-licence claims in the extractive industries frequently rest on a defensive rhetorical strategy is borne out at the documentary level here. Second, the proponent's position is essentially monolithic. It does not modulate by audience, and it does not acknowledge regulatory non-compliance findings within its public position-taking. This in itself constrains the procedural space in which any negotiated social licence could be developed (Moffat and Zhang, 2014).</w:t>
      </w:r>
    </w:p>
    <w:p>
      <w:pPr>
        <w:spacing w:line="336" w:lineRule="auto" w:after="160"/>
        <w:jc w:val="both"/>
      </w:pPr>
      <w:r>
        <w:rPr>
          <w:i w:val="0"/>
          <w:sz w:val="23"/>
        </w:rPr>
        <w:t>The Namibian Uranium Association's position is institutionally interlocked with the proponent's. The NUA hosts Headspring as a listed member and promotes Namibia's uranium sector, including ISR/ISL technology as one of its modes of extraction, through its communications, expansion advocacy, and industry-positioning work (Namibian Uranium Association, 2024). The Namibian Uranium Institute, the NUA's research-and-information arm, has been the principal channel through which the case for in-situ recovery as a globally established practice has been put in Namibian public discourse. The NUA's documented position is therefore best read as the industry's authorising frame for the proponent, rather than as an independent stance on the case specifically. No Headspring-specific NUA statement on the regulatory issues raised by the 2021 MAWLR permit withdrawal has been located in the open record, and that absence will be returned to in §6.6.</w:t>
      </w:r>
    </w:p>
    <w:p>
      <w:pPr>
        <w:spacing w:before="280" w:after="120"/>
      </w:pPr>
      <w:r>
        <w:rPr>
          <w:b/>
          <w:color w:val="1F3864"/>
          <w:sz w:val="27"/>
        </w:rPr>
        <w:t>6.2.2  The promoting state: Mines and Energy, the Environmental Commissioner, and the Parliamentary Standing Committee</w:t>
      </w:r>
    </w:p>
    <w:p>
      <w:pPr>
        <w:spacing w:line="336" w:lineRule="auto" w:after="160"/>
        <w:jc w:val="both"/>
      </w:pPr>
      <w:r>
        <w:rPr>
          <w:i w:val="0"/>
          <w:sz w:val="23"/>
        </w:rPr>
        <w:t>The Namibian state's documented position on the project is split, and §6.3 analyses the structural reasons for that split. Within the present section the two limbs of the documented state position are presented in turn, first the promoting limb, then the protective. The promoting limb is most clearly carried in the documentary record by three institutions: the Ministry of Mines and Energy through the maintenance of Headspring's exclusive prospecting licences; the Office of the Environmental Commissioner in the Ministry of Environment, Forestry and Tourism through the active environmental clearance process; and, most decisively in the 2025 record, the Parliamentary Standing Committee on Natural Resources through its formal report.</w:t>
      </w:r>
    </w:p>
    <w:p>
      <w:pPr>
        <w:spacing w:line="336" w:lineRule="auto" w:after="160"/>
        <w:jc w:val="both"/>
      </w:pPr>
      <w:r>
        <w:rPr>
          <w:i w:val="0"/>
          <w:sz w:val="23"/>
        </w:rPr>
        <w:t>The Standing Committee's 2025 report (Parliamentary Standing Committee on Natural Resources, 2025) recommends that uranium exploration in the Omaheke region be allowed to continue 'in the absence of evidence that groundwater has been or will be contaminated'. The framing of that recommendation deserves careful reading. It places the evidentiary burden on those raising concerns to prove contamination prospectively, rather than placing the burden on the proponent to prove safety: a reversal of the precautionary structure that the Water Resources Management Act of 2013 and the Subterranean Water Controlled Area declaration would otherwise impose (Republic of Namibia, 2013; Eckstein, 2017). The Committee's chair successor, Hon. Tobie Aupindi, has elaborated the Committee's position in public communications, describing the ministerial caution that has prevailed since 2021 as having held the project 'hostage' to opposition that is 'mostly not based on any specific scientific data' (Carnie, 2026). This is documented organisational position-taking of the strongest evidentiary kind, and it places the Committee, under its present leadership, squarely within the promoting limb of the state's split position.</w:t>
      </w:r>
    </w:p>
    <w:p>
      <w:pPr>
        <w:spacing w:line="336" w:lineRule="auto" w:after="160"/>
        <w:jc w:val="both"/>
      </w:pPr>
      <w:r>
        <w:rPr>
          <w:i w:val="0"/>
          <w:sz w:val="23"/>
        </w:rPr>
        <w:t>The Committee's promoting position is not, however, a SWAPO-only position. The Committee includes named opposition members from four parties: Hon. Immanuel Shawana Nashinge (Leader of the Official Opposition, IPC) and Hon. Rodrick Liwela Likando (IPC Chief Whip) for the IPC; Hon. Diederik Isaak Vries (PDM Chief Whip) for the PDM; Hon. Longinus N. Iipumbu (NEEF Party Leader and Chief Whip) for NEEF; and Hon. Vetaruhe Kandorozu (NUDO Party Leader and Chief Whip) for NUDO (Parliament of Namibia, 2026). The Standing Committee's 2025 report records that the two IPC members of the Committee participated in the proponent-sponsored study visit to the Dalur ISL operation in Kazakhstan, while the report does not record participation by the PDM, NEEF, or NUDO members of the Committee in that visit (Parliamentary Standing Committee on Natural Resources, 2025; Keulder, 2026a). The IPC's effective procedural alignment with the Committee's promoting recommendation, through participation in the proponent-sponsored visit and through subsequent concurrence in the Committee's recommendations, therefore sits in the documented record alongside the substantive opposition of the smaller Republican Party (§6.2.4) and against the documented non-participation of the other three opposition parties on the Committee. The analytic point is sharper than the simple division between SWAPO and 'the opposition' would suggest. The parliamentary opposition is itself divided on the Committee, and the IPC, as the largest opposition party in the National Assembly, is, by documented procedural conduct, on the promoting limb.</w:t>
      </w:r>
    </w:p>
    <w:p>
      <w:pPr>
        <w:spacing w:line="336" w:lineRule="auto" w:after="160"/>
        <w:jc w:val="both"/>
      </w:pPr>
      <w:r>
        <w:rPr>
          <w:i w:val="0"/>
          <w:sz w:val="23"/>
        </w:rPr>
        <w:t>The Ministry of Mines and Energy and the Office of the Environmental Commissioner are more diffidently visible in the open record. The MME maintains the exclusive prospecting licences that allow Headspring to continue exploration. The Environmental Commissioner's process has been documented as active rather than refused: an environmental clearance certificate has not, at the time of writing, been issued for the production phase, but no public ministerial decision halting the broader clearance process has been issued either (Brown and Shipena, 2024). Al Jazeera's investigation in November 2024 records the position bluntly: 'The Namibian Ministry of Mines and Energy and the Ministry of Environment, Forestry and Tourism have reportedly not hindered Rosatom's plan' (Brown and Shipena, 2024). The strength of the evidence from public statements alone is moderate, but, as §6.2.7 sets out, the MME's documented administrative behaviour (the continued issuance, renewal-processing, and acceptance of new applications for uranium-exploration licences covering approximately 59% of the Stampriet Artesian Basin through the period of the controversy) supplies strong-evidence documentary support for the ministry's substantive position. The MME's position is therefore best read not through what the ministry has said but through what it has continuously done.</w:t>
      </w:r>
    </w:p>
    <w:p>
      <w:pPr>
        <w:spacing w:before="280" w:after="120"/>
      </w:pPr>
      <w:r>
        <w:rPr>
          <w:b/>
          <w:color w:val="1F3864"/>
          <w:sz w:val="27"/>
        </w:rPr>
        <w:t>6.2.3  The protective state: MAWLR and the precautionary ministerial position</w:t>
      </w:r>
    </w:p>
    <w:p>
      <w:pPr>
        <w:spacing w:line="336" w:lineRule="auto" w:after="160"/>
        <w:jc w:val="both"/>
      </w:pPr>
      <w:r>
        <w:rPr>
          <w:i w:val="0"/>
          <w:sz w:val="23"/>
        </w:rPr>
        <w:t>Against this promoting limb, the documented protective limb of the state position is carried principally by the Ministry of Agriculture, Water and Land Reform. MAWLR's position is the most extensively documented of any single state institution in the open record. The ministry issued the 9 November 2021 letter to Headspring withdrawing Permits No. 11561 and No. 11562 'with immediate effect', citing 'gross violations and non-compliance of permit conditions' and listing as its operative findings that the company had drilled the wrong borehole pattern (mimicking in-situ leach geometry rather than the permitted hydrogeological study geometry), failed to grout and case off the Kalahari aquifer before drilling into the Auob, left exploration boreholes open for extended periods, drilled at least seventy additional exploration boreholes and seven additional hydrogeological-study boreholes without a valid permit, and failed to make permit conditions available to the contracted drillers (Ministry of Agriculture, Water and Land Reform, 2021b). The 2021 letter is the single most consequential documentary artefact in the case. It places the proponent's regulatory record, not just its future intentions, in the public domain; it is the basis on which subsequent ministerial and SAUMA positions are built; and it is the document the proponent's 'red wine pH' rhetoric most directly contradicts.</w:t>
      </w:r>
    </w:p>
    <w:p>
      <w:pPr>
        <w:spacing w:line="336" w:lineRule="auto" w:after="160"/>
        <w:jc w:val="both"/>
      </w:pPr>
      <w:r>
        <w:rPr>
          <w:i w:val="0"/>
          <w:sz w:val="23"/>
        </w:rPr>
        <w:t>The MAWLR position was substantively developed in the February 2024 statement by Minister Calle Schlettwein to the National Assembly, in which he set out the ministry's position that Headspring's ISL proposal cannot proceed without independent evidence that contamination of the Stampriet Aquifer System will not occur, and offered the formulation that has come to summarise the protective state position: 'At the end of the day, we cannot survive without water and food, but we can live without coal or uranium' (Schlettwein, 2024; The Namibian, 2024a). The formulation was widely quoted in subsequent coverage and was rebutted in writing by Headspring within weeks (Headspring Investments, 2024b). The succession to a new agriculture minister, Inge Zaamwani-Kamwi, has been documented through media coverage of her halt to ISL near Leonardville pending proof of safety, and of her engagement of UNESCO and the IAEA for technical input (Africa Briefing, 2025; The Namibian, 2024c). The substantive position remains precautionary. The register has shifted from Schlettwein's politically explicit framing to a more administrative key, but the position has not been withdrawn.</w:t>
      </w:r>
    </w:p>
    <w:p>
      <w:pPr>
        <w:spacing w:line="336" w:lineRule="auto" w:after="160"/>
        <w:jc w:val="both"/>
      </w:pPr>
      <w:r>
        <w:rPr>
          <w:i w:val="0"/>
          <w:sz w:val="23"/>
        </w:rPr>
        <w:t>The Cabinet's most recent public statement on the matter, issued in 2026, commits that 'the decision on Omaheke uranium mining will be based on science' (The Namibian, 2026a). This is a process commitment rather than a substantive position. Its analytical interest lies in what it does not say: it does not foreclose the project, but neither does it endorse the Standing Committee's recommendation. Read alongside the protective MAWLR record and the engagement of UNESCO and the IAEA, the Cabinet statement is best understood as positioning the executive at the centre of the split, a centre in which the precautionary position has not been abandoned, but in which no substantive decision has yet been taken.</w:t>
      </w:r>
    </w:p>
    <w:p>
      <w:pPr>
        <w:spacing w:before="280" w:after="120"/>
      </w:pPr>
      <w:r>
        <w:rPr>
          <w:b/>
          <w:color w:val="1F3864"/>
          <w:sz w:val="27"/>
        </w:rPr>
        <w:t>6.2.4  Civil society, farmers' bodies and political opposition</w:t>
      </w:r>
    </w:p>
    <w:p>
      <w:pPr>
        <w:spacing w:line="336" w:lineRule="auto" w:after="160"/>
        <w:jc w:val="both"/>
      </w:pPr>
      <w:r>
        <w:rPr>
          <w:i w:val="0"/>
          <w:sz w:val="23"/>
        </w:rPr>
        <w:t>The documented organisational opposition to the project is numerous, technically literate, and convergent. Five organisations carry the documentary weight of the opposition in the public record: the Stampriet Aquifer Uranium Mining Association (SAUMA); the Namibian Chamber of Environment (NCE); the Namibia Agricultural Union (NAU), to which SAUMA is affiliated; the Namibian Environment and Wildlife Society (NEWS), through its institutional publication on the Namibian Environmental Impact Assessment architecture; and the Republican Party as an organised political opposition voice. A sixth, the Water Solutions Group's technical panel led by Kuiri Tjipangandjara, occupies a technical-authority space that overlaps both civil society and intergovernmental science and is recorded separately under that head in §6.2.5.</w:t>
      </w:r>
    </w:p>
    <w:p>
      <w:pPr>
        <w:spacing w:line="336" w:lineRule="auto" w:after="160"/>
        <w:jc w:val="both"/>
      </w:pPr>
      <w:r>
        <w:rPr>
          <w:i w:val="0"/>
          <w:sz w:val="23"/>
        </w:rPr>
        <w:t>SAUMA is the most consistently visible organised opposition voice in the open record over the period 2021 to 2026 (Stampriet Aquifer Uranium Mining Association, 2023, 2024, n.d.). It is a registered non-profit affiliated to the Namibia Agricultural Union, organised by farmers, game ranchers, and lodge owners in the affected basin, and it has used the full range of documentary channels: press releases, an institutional website, parliamentary submissions, open letters, and presentations to the Standing Committee. SAUMA's substantive position is that ISL mining of uranium in the STAS will cause irreversible groundwater contamination, that the project should not proceed, that proponent-sponsored study visits (such as the August 2023 visit to Rosatom's Dalur Mine in Russia) are evidentiarily insufficient because 'questions raised on the tour were answered evasively, superficially or not at all', and that the matter should be referred to an independent international scientific review (Stampriet Aquifer Uranium Mining Association, 2023). SAUMA has also publicly warned of national-catastrophe-level litigation should mining proceed and contamination occur (The Namibian, 2025c). The evidentiary strength of SAUMA's documented position is uniformly strong; direct organisational quotation is available across multiple channels. The technical-authority anchoring of SAUMA's position has been further strengthened by the affiliation of Roy Miller, former Director of the Geological Survey of Namibia, with SAUMA in its technical-advisory capacity, a development the chapter returns to in §6.2.5.</w:t>
      </w:r>
    </w:p>
    <w:p>
      <w:pPr>
        <w:spacing w:line="336" w:lineRule="auto" w:after="160"/>
        <w:jc w:val="both"/>
      </w:pPr>
      <w:r>
        <w:rPr>
          <w:i w:val="0"/>
          <w:sz w:val="23"/>
        </w:rPr>
        <w:t>The Namibian Chamber of Environment's documented position is also strong, and it sits one rhetorical degree higher in the public argument because it speaks not only on the case but on the international-practice question of whether ISL is appropriate for high-quality drinking-water aquifers at all. The NCE position, issued under the institutional voice of the Chamber in the October 2025 opinion piece 'Poisoning the well: Why Namibia should not allow uranium leach mining in the Stampriet Artesian Basin' (Namibian Chamber of Environment, 2025), opposes the project unequivocally on five grounds: that the STAS contains high-quality drinking water in current human, livestock, wildlife, and irrigation use; that contamination on this resource would be effectively irreversible on a human timescale; that the transboundary character of the aquifer triggers international-law obligations to consult Botswana and South Africa that have not been met; that the proponent's appeal to 'self-restoration' is a Kazakh practice with no demonstrated success in restoring drinkable water; and that international best practice (exemplified by Australia and the United States) would not permit the application to proceed under Namibia's hydrogeological conditions. The NCE's operative claim is direct: 'If the conditions found in Namibia were in either Australia or the USA, their respective environmental authorities would have thrown out the application to mine automatically. Uranium leach mining and good quality drinking water are simply not compatible' (Namibian Chamber of Environment, 2025). The piece is amplified through NCE's institutional social-media channels and is the single richest source of documented NCE position-taking on the project in the open record.</w:t>
      </w:r>
    </w:p>
    <w:p>
      <w:pPr>
        <w:spacing w:line="336" w:lineRule="auto" w:after="160"/>
        <w:jc w:val="both"/>
      </w:pPr>
      <w:r>
        <w:rPr>
          <w:i w:val="0"/>
          <w:sz w:val="23"/>
        </w:rPr>
        <w:t>The Namibia Agricultural Union's documented position is institutionally bound to SAUMA but also carries an independent voice. NAU has publicly identified some 1,300 farms across the affected basin and warned, through its former president Piet Gouws, that contamination from ISL 'could render the water in the southeastern region of Namibia unfit for human and animal consumption, effectively bringing agriculture to a total and permanent standstill in the area' (Brown and Shipena, 2024). The NAU position is consistent with SAUMA's but speaks from a broader farmer base across the country, and it ties the case to the wider question of agricultural land use and food security in southern Namibia.</w:t>
      </w:r>
    </w:p>
    <w:p>
      <w:pPr>
        <w:spacing w:line="336" w:lineRule="auto" w:after="160"/>
        <w:jc w:val="both"/>
      </w:pPr>
      <w:r>
        <w:rPr>
          <w:i w:val="0"/>
          <w:sz w:val="23"/>
        </w:rPr>
        <w:t>The Namibian Environment and Wildlife Society (NEWS) carries an institutional position that bears on the case at the procedural level, in the form of its October 2024 publication 'Are Environmental Impact Assessments Working in Namibia?', authored by John Pallett and Ndelimona Iipinge under the NEWS institutional by-line and published on the Conservation Namibia platform with NCE support (Pallett and Iipinge, 2024). The piece is the principal documentary anchor in the Namibian environmental civil-society record for the procedural-justice critique that runs through the present chapter. Its substantive findings are empirical rather than rhetorical. Drawing on the EIA Tracker that NEWS itself operates, which logged 1,189 EIAs registered in the fifteen-month period to July 2024, the article documents that only 337 (28%) of registered EIAs were conducted by Environmental Assessment Practitioners registered with the Environmental Assessment Professionals Association of Namibia (EAPAN), and that only 48 of the 93 EAPs currently practising in Namibia are EAPAN-registered. The article reports a pattern of Environmental Assessment Practitioners unlawfully refusing to provide Background Information Documents to the public, the placement of statutorily required EIA advertisements 'in obscure places, such as the tiny print of the classified ads section of a newspaper', the failure of the Office of the Environmental Commissioner to inspect projects or to enforce Environmental Management Plans, and the broader procedural-transparency finding that 'the DEA deliberately makes it difficult for anyone trying to find out more about an EIA' (Pallett and Iipinge, 2024). Its operative call to the Office of the Environmental Commissioner ('Clean up your act!') situates the NEWS institutional voice on the same procedural-critique limb of the field as SAUMA, NCE, the Republican Party, and the documented intergovernmental positions in §6.2.5. The piece is, in the chapter's analytical scheme, the empirical Namibian-evidence anchor that the procedural-cost argument (§6.3.3) would otherwise have to make from international SLO theory alone, and it does so on data from NEWS's own institutionally-operated EIA tracking system rather than from external sources.</w:t>
      </w:r>
    </w:p>
    <w:p>
      <w:pPr>
        <w:spacing w:line="336" w:lineRule="auto" w:after="160"/>
        <w:jc w:val="both"/>
      </w:pPr>
      <w:r>
        <w:rPr>
          <w:i w:val="0"/>
          <w:sz w:val="23"/>
        </w:rPr>
        <w:t>Political opposition to the project, as a documented party-level position rather than as individual parliamentary commentary, is carried in the open record principally by the Republican Party under its leader Henk Mudge. Across press conferences, party statements, and direct media engagement, the RP's position is that ISL uranium mining in the STAS should be rejected; that the aquifer is too important to risk; that contamination would be irreversible; and that the matter requires transboundary engagement with Botswana and South Africa (New Era, 2024a; The Namibian, 2026b). The RP has also made the politically explicit allegation that Headspring has 'influenced communities' through payments and gifts directed at traditional leaders and at prominent persons in Parliament. The allegation is a political claim rather than an independently verified finding, but it is documented as RP organisational position-taking and is recorded as such. The opposition position-taking of the other parliamentary parties (SWAPO as governing party, PDM, AR, and the smaller opposition formations) is treated under structural absences in §6.6.</w:t>
      </w:r>
    </w:p>
    <w:p>
      <w:pPr>
        <w:spacing w:before="280" w:after="120"/>
      </w:pPr>
      <w:r>
        <w:rPr>
          <w:b/>
          <w:color w:val="1F3864"/>
          <w:sz w:val="27"/>
        </w:rPr>
        <w:t>6.2.5  Intergovernmental and technical-authority positions</w:t>
      </w:r>
    </w:p>
    <w:p>
      <w:pPr>
        <w:spacing w:line="336" w:lineRule="auto" w:after="160"/>
        <w:jc w:val="both"/>
      </w:pPr>
      <w:r>
        <w:rPr>
          <w:i w:val="0"/>
          <w:sz w:val="23"/>
        </w:rPr>
        <w:t>Four further organisations carry positions that are intergovernmental or technical-authority in character and that materially strengthen the documented opposition to the project: the Orange-Senqu River Commission, UNESCO, the International Groundwater Resources Assessment Centre, and, through formal SADC-related conference presentations and recurrent media commentary, the former Director of the Geological Survey of Namibia, Roy Miller. The Water Solutions Group's panel led by Kuiri Tjipangandjara belongs analytically in this set.</w:t>
      </w:r>
    </w:p>
    <w:p>
      <w:pPr>
        <w:spacing w:line="336" w:lineRule="auto" w:after="160"/>
        <w:jc w:val="both"/>
      </w:pPr>
      <w:r>
        <w:rPr>
          <w:i w:val="0"/>
          <w:sz w:val="23"/>
        </w:rPr>
        <w:t>ORASECOM, the intergovernmental commission mandated to address shared water in the Orange-Senqu basin, has carried a position on the project at body level since the November 2022 SADC Groundwater Management Institute conference in Windhoek, and the position has been re-stated and elaborated in subsequent communications, most recently in the commission's May 2026 statement to Daily Maverick: 'ORASECOM recognises the strategic importance and sensitivity of shared groundwater resources and the need to ensure that any development activities are undertaken in a manner that safeguards the long-term sustainability of the aquifers and prevents adverse transboundary impacts' (Orange-Senqu River Commission, 2022; Carnie, 2026). The Stampriet Strategic Action Plan, endorsed by ORASECOM's Council of Ministers in 2022, names among its operative objectives the maintenance of current groundwater quality and the safeguarding of groundwater from mining activities, and the delineation of groundwater protection zoning measures (Orange-Senqu River Commission, 2022). The ORASECOM position is the first publicly attributable intergovernmental position on the project from the body with formal competence over the transboundary system, and it commits ORASECOM to addressing the matter through the commission's structures (Carnie, 2026). Its evidentiary weight, for our purposes, is strong.</w:t>
      </w:r>
    </w:p>
    <w:p>
      <w:pPr>
        <w:spacing w:line="336" w:lineRule="auto" w:after="160"/>
        <w:jc w:val="both"/>
      </w:pPr>
      <w:r>
        <w:rPr>
          <w:i w:val="0"/>
          <w:sz w:val="23"/>
        </w:rPr>
        <w:t>UNESCO's documented position is best read as procedural and convening rather than substantive. UNESCO, in collaboration with MAWLR and ORASECOM, convened technical-expert and stakeholder meetings on the impacts of ISL on the Stampriet Transboundary Aquifer System in Pretoria on 13 to 14 June 2024 and in Mariental on 17 June 2024, at the Namibian government's request (UNESCO, 2024). The closing observation of the two meetings, that 'it was widely acknowledged that there is inadequate baseline data and information available for a comprehensive assessment', is itself a documented institutional finding, and it has subsequently been incorporated into UNESCO's advisory report to the Namibian government. The diplomatic register of the UNESCO communication is intentional, but the substantive position it embodies (that the project cannot be assessed on the existing data) is in alignment with the protective MAWLR position and with the NCE's calls for international best-practice expert review.</w:t>
      </w:r>
    </w:p>
    <w:p>
      <w:pPr>
        <w:spacing w:line="336" w:lineRule="auto" w:after="160"/>
        <w:jc w:val="both"/>
      </w:pPr>
      <w:r>
        <w:rPr>
          <w:i w:val="0"/>
          <w:sz w:val="23"/>
        </w:rPr>
        <w:t>IGRAC, the UNESCO-affiliated International Groundwater Resources Assessment Centre, occupies the most explicit and substantive scientific-institutional position against the project in the open record. IGRAC's documented position, articulated in its 2024 news article (International Groundwater Resources Assessment Centre, 2024) and elaborated in its May 2026 statement to Daily Maverick by its Director, Dr Elizabeth Lictevout, is that ISL extraction is well known for its negative impact on groundwater quality and that any contamination of the STAS would be 'irreversible (on a human scale)'. Lictevout's statement is worth reproducing in full, as it carries the most direct intergovernmental scientific position-taking in the open record:</w:t>
      </w:r>
    </w:p>
    <w:p>
      <w:pPr>
        <w:spacing w:line="300" w:lineRule="auto" w:before="80" w:after="160"/>
        <w:ind w:left="567" w:right="283"/>
        <w:jc w:val="both"/>
      </w:pPr>
      <w:r>
        <w:rPr>
          <w:color w:val="262626"/>
          <w:sz w:val="21"/>
        </w:rPr>
        <w:t>'This extraction method is well known for its negative impact on groundwater quality. Groundwater contamination through the in-situ leaching uranium extraction method will be irreversible (on a human scale). There is no remediation method successful to date. Therefore, groundwater will become unusable, not only for Namibia but also most probably for the neighbouring countries sharing the resource, namely Botswana and South Africa' (Lictevout, in Carnie, 2026).</w:t>
      </w:r>
    </w:p>
    <w:p>
      <w:pPr>
        <w:spacing w:line="336" w:lineRule="auto" w:after="160"/>
        <w:jc w:val="both"/>
      </w:pPr>
      <w:r>
        <w:rPr>
          <w:i w:val="0"/>
          <w:sz w:val="23"/>
        </w:rPr>
        <w:t>On the strength of this position, IGRAC has formally called on the Namibian Environmental Commissioner not to issue an environmental clearance certificate for the project and to commission an independent external review of the proposals, a position convergent with NCE's October 2025 call but expressed in the technical-institutional register of a UN-affiliated scientific body. The evidentiary weight of the IGRAC position is strong.</w:t>
      </w:r>
    </w:p>
    <w:p>
      <w:pPr>
        <w:spacing w:line="336" w:lineRule="auto" w:after="160"/>
        <w:jc w:val="both"/>
      </w:pPr>
      <w:r>
        <w:rPr>
          <w:i w:val="0"/>
          <w:sz w:val="23"/>
        </w:rPr>
        <w:t>The Roy Miller position belongs alongside these intergovernmental and technical-authority voices. Miller, former Director of the Geological Survey of Namibia and now affiliated to SAUMA in its technical-advisory capacity, has set out his substantive position in formal presentations to the SADC Groundwater Management Institute conference in Windhoek (November 2022) and re-stated it in subsequent media engagement (Miller, 2022; Carnie, 2026). The operative claim ('Groundwater is a critical and sustainable commodity and must be protected for present and future generations. Development of uranium (extraction) in any drinking water aquifer must be prevented', Miller, 2022) is more than the personal view of a senior figure; it is an institutionally authorised technical position delivered through a regional intergovernmental scientific forum, now also institutionally anchored within SAUMA's technical-advisory voice. The Water Solutions Group's panel led by Kuiri Tjipangandjara, which presented findings at the SAUMA technical meeting of 17 June 2024 showing that three to four of ten sampled Headspring boreholes contained dissolved uranium and radionuclides above permissible limits, occupies the same technical-authority register and adds the now widely cited warning that 'a football player cannot be a referee', that the proponent cannot also be the monitor (Brown and Shipena, 2024).</w:t>
      </w:r>
    </w:p>
    <w:p>
      <w:pPr>
        <w:spacing w:before="280" w:after="120"/>
      </w:pPr>
      <w:r>
        <w:rPr>
          <w:b/>
          <w:color w:val="1F3864"/>
          <w:sz w:val="27"/>
        </w:rPr>
        <w:t>6.2.6  Two asymmetries in the documented record</w:t>
      </w:r>
    </w:p>
    <w:p>
      <w:pPr>
        <w:spacing w:line="336" w:lineRule="auto" w:after="160"/>
        <w:jc w:val="both"/>
      </w:pPr>
      <w:r>
        <w:rPr>
          <w:i w:val="0"/>
          <w:sz w:val="23"/>
        </w:rPr>
        <w:t>The pattern that emerges from §§6.2.1 to 6.2.5 is asymmetric in two distinct senses, and both asymmetries belong in the chapter's answer to its research question. The first asymmetry is asymmetry of evidentiary breadth. The organisations carrying the documentary weight of opposition to the project (SAUMA, NCE, NAU, the Republican Party, ORASECOM, UNESCO, IGRAC, Roy Miller, the Water Solutions Group, MAWLR under both Schlettwein and Zaamwani-Kamwi, and the Cabinet by way of its 'decision based on science' commitment) are numerous, drawn from multiple institutional registers (civil society, agriculture, environmental science, regional intergovernmental science, ministerial executive, national parliamentary opposition), and convergent on a small set of substantive points: the irreversibility of contamination at human timescales, the transboundary character of the resource, the inadequacy of the existing baseline data, and the unsuitability of ISL for high-quality drinking-water aquifers under international best practice. The organisations carrying the documentary weight of the project's continuation (Headspring itself, the Namibian Uranium Association, the Ministry of Mines and Energy, the Environmental Commissioner's process, and the Parliamentary Standing Committee under its present leadership) are fewer, more tightly interlocked with the proponent, and rely substantively on the procedural argument that contamination has not been proven to have already occurred. This is not a balanced disagreement. It is an asymmetry, in the documentary record, between a substantive and a procedural position.</w:t>
      </w:r>
    </w:p>
    <w:p>
      <w:pPr>
        <w:spacing w:line="336" w:lineRule="auto" w:after="160"/>
        <w:jc w:val="both"/>
      </w:pPr>
      <w:r>
        <w:rPr>
          <w:i w:val="0"/>
          <w:sz w:val="23"/>
        </w:rPr>
        <w:t>The second asymmetry is asymmetry of register. The documented opposition speaks in technical, hydrogeological, and international-best-practice terms: pH adjustments, alpha and beta activities, borehole geometry, transboundary protection zoning, irreversibility on a human timescale. The documented promotion speaks in vernacular and procedural terms: red wine and lemon juice, self-restoration, jobs, the absence of formal proof of contamination, and the 'hostage' framing of administrative caution. The two registers do not meet. Ehrnström-Fuentes's (2016) account of political-ontological pluriversality is borne out at the level of discourse here, and the absence of a register in which the two positions could be tested against each other on shared evidentiary ground is one of the structural conditions of the case. The implication of these two asymmetries for the chapter's central question is plain. The documented organisational record is weighted toward opposition; the procedural architecture of the case, however, treats the documented record as if it were evenly balanced. §6.3 takes up the analytical reasons for this mismatch.</w:t>
      </w:r>
    </w:p>
    <w:p>
      <w:pPr>
        <w:spacing w:before="280" w:after="120"/>
      </w:pPr>
      <w:r>
        <w:rPr>
          <w:b/>
          <w:color w:val="1F3864"/>
          <w:sz w:val="27"/>
        </w:rPr>
        <w:t>6.2.7  The basin-wide EPL landscape and the documented administrative behaviour of the Ministry of Mines and Energy</w:t>
      </w:r>
    </w:p>
    <w:p>
      <w:pPr>
        <w:spacing w:line="336" w:lineRule="auto" w:after="160"/>
        <w:jc w:val="both"/>
      </w:pPr>
      <w:r>
        <w:rPr>
          <w:i w:val="0"/>
          <w:sz w:val="23"/>
        </w:rPr>
        <w:t>The chapter's documentary record to this point has been organised around named institutional positions on the Headspring project. A different layer of the documentary record bears on the case and needs to be presented here, because it materially affects the chapter's central question. The Ministry of Mines and Energy maintains a public register of Exclusive Prospecting Licences (EPLs) under the Minerals (Prospecting and Mining) Act 33 of 1992 (Republic of Namibia, 1992). The register, compiled by an external analyst against MME records as at 2 January 2026, shows that the SAB is, at the time of writing, the subject of an active and continuously expanding uranium-exploration licensing programme that extends well beyond the Headspring footprint that has been the public focus of the controversy. Figure 6.3 maps the register onto the SAB; the underlying data are summarised in Sheet 6 of the qualitative matrix workbook.</w:t>
      </w:r>
    </w:p>
    <w:p>
      <w:pPr>
        <w:spacing w:before="200" w:after="80"/>
        <w:jc w:val="center"/>
      </w:pPr>
      <w:r>
        <w:drawing>
          <wp:inline xmlns:a="http://schemas.openxmlformats.org/drawingml/2006/main" xmlns:pic="http://schemas.openxmlformats.org/drawingml/2006/picture">
            <wp:extent cx="5120640" cy="7241127"/>
            <wp:docPr id="1" name="Picture 1"/>
            <wp:cNvGraphicFramePr>
              <a:graphicFrameLocks noChangeAspect="1"/>
            </wp:cNvGraphicFramePr>
            <a:graphic>
              <a:graphicData uri="http://schemas.openxmlformats.org/drawingml/2006/picture">
                <pic:pic>
                  <pic:nvPicPr>
                    <pic:cNvPr id="0" name="Figure_6_3_EPL_Map.png"/>
                    <pic:cNvPicPr/>
                  </pic:nvPicPr>
                  <pic:blipFill>
                    <a:blip r:embed="rId14"/>
                    <a:stretch>
                      <a:fillRect/>
                    </a:stretch>
                  </pic:blipFill>
                  <pic:spPr>
                    <a:xfrm>
                      <a:off x="0" y="0"/>
                      <a:ext cx="5120640" cy="7241127"/>
                    </a:xfrm>
                    <a:prstGeom prst="rect"/>
                  </pic:spPr>
                </pic:pic>
              </a:graphicData>
            </a:graphic>
          </wp:inline>
        </w:drawing>
      </w:r>
    </w:p>
    <w:p>
      <w:pPr>
        <w:spacing w:after="280"/>
        <w:jc w:val="center"/>
      </w:pPr>
      <w:r>
        <w:rPr>
          <w:i/>
          <w:color w:val="595959"/>
          <w:sz w:val="20"/>
        </w:rPr>
        <w:t>Figure 6.3. Active and pending Exclusive Prospecting Licences for uranium in the Stampriet Artesian Basin (SAB) as at 2 January 2026. Source: External-analyst compilation against Ministry of Mines and Energy records, used with permission (Author's collection, 2026). The map identifies EPL-holding entities by colour; the analytical text treats each entity as a separate legal holder, with corporate-parentage claims made only where independently corroborated in the public record.</w:t>
      </w:r>
    </w:p>
    <w:p>
      <w:pPr>
        <w:spacing w:line="336" w:lineRule="auto" w:after="160"/>
        <w:jc w:val="both"/>
      </w:pPr>
      <w:r>
        <w:rPr>
          <w:i w:val="0"/>
          <w:sz w:val="23"/>
        </w:rPr>
        <w:t>The register records active uranium EPLs and applications in the SAB held under at least eleven distinct corporate or individual names, totalling approximately 3.75 million hectares, roughly 59% of the basin's 6.32-million-hectare footprint. The register's documented composition is as follows. The Headspring Investments (Pty) Ltd block, comprising eight EPLs (EPLs 4654 to 4657 active until 16 February 2027, and 6780 to 6783 pending renewal with original expiry 25 January 2026), covers approximately 691,348 hectares concentrated in the north of the basin around Leonardville, with the two known uranium orebodies lying within EPL 4654. Uraplant Mining (Pty) Ltd, previously registered under the name Mangrove (Pty) Ltd, holds six EPLs (7780, 7795, 7797 to 7799, 7786) covering approximately 590,964 hectares, with active status to 15 September 2026. Green Mining (Pty) Ltd holds eleven EPLs (7817, 7818, 7822 to 7830) covering approximately 685,982 hectares, with renewal pending through the Environmental Clearance Certificate process. Zoya Minerals CC holds ten EPLs (8271 to 8280) covering approximately 993,022 hectares, the largest single corporate footprint in the register. Dealmaker Investments holds one EPL (9212) of 19,663 hectares, active to 21 April 2028. A further ten EPL applications totalling 760,796 hectares, submitted between July 2024 and November 2025 under six further corporate or individual names (Collossol Aranos Mining, Stoneworks Mining, Narubis Resource, Twee River Resource, Tiecheng Mining, and P.N. Amunela) are recorded as pending. The continuous issuance, renewal-processing, and application-acceptance across the 2020 to 2026 period is, on the documentary record, the operative administrative position of the MME on uranium-exploration licensing in the SAB.</w:t>
      </w:r>
    </w:p>
    <w:p>
      <w:pPr>
        <w:spacing w:line="336" w:lineRule="auto" w:after="160"/>
        <w:jc w:val="both"/>
      </w:pPr>
      <w:r>
        <w:rPr>
          <w:i w:val="0"/>
          <w:sz w:val="23"/>
        </w:rPr>
        <w:t>The corporate background of the EPL-holding entities requires particular evidentiary discipline, because authoritative documentation of corporate parentage is unevenly available. Headspring Investments (Pty) Ltd is independently corroborated in the open record as a Namibian-registered operating company wholly owned by Uranium One Group, which is itself wholly owned by the Russian State Corporation for Atomic Energy (Rosatom). The corroboration is triangulated across three independent sources. First, the Al Jazeera investigation (Brown and Shipena, 2024) names Headspring as Uranium One Group's operating company in Namibia. Second, the WISE Uranium Project Namibia page (WISE Uranium Project, 2026) records the lineage in successive formulations including 'Headspring Investments, Uranium One Group's operating company in Namibia' and 'a wholly owned subsidiary of Rosatom's Uranium One'. Third, and most consequentially, the Ministry of Mines and Energy's own licence-contact register (Ministry of Mines and Energy, 2025) records the official contact email for Headspring's eight EPLs as aldo.hengari@uranium1.com. The regulator's own records therefore treat the company as part of the Uranium One group at the level of routine administrative correspondence. The Headspring to Uranium One to Rosatom lineage can be cited as documentary fact, corroborated by investigative journalism, by specialist watchdog reporting, and by the Namibian state regulator's own documentary apparatus.</w:t>
      </w:r>
    </w:p>
    <w:p>
      <w:pPr>
        <w:spacing w:line="336" w:lineRule="auto" w:after="160"/>
        <w:jc w:val="both"/>
      </w:pPr>
      <w:r>
        <w:rPr>
          <w:i w:val="0"/>
          <w:sz w:val="23"/>
        </w:rPr>
        <w:t>The corporate parentage of Green Mining (Pty) Ltd is in the documentary record in a contested form, and the chapter reports the contest as it stands. Three pieces of evidence are on the record. First, the Al Jazeera investigation (Brown and Shipena, 2024) reports that 'land documents seen by Al Jazeera suggest that Green Mining is ultimately owned by Headspring, which could circumvent the need for Rosatom to get its cancelled licences reinstated'. Second, the same article records Headspring's formal denial: 'Headspring, in a statement, told Al Jazeera that it did not control, and had never controlled, Green Mining' (Brown and Shipena, 2024). Third, the Ministry of Mines and Energy's licence-contact register (Ministry of Mines and Energy, 2025) records the official contact phone number for Green Mining's eleven EPLs as 79153289646, a Russian-format mobile number in the +7 country code. The Russian-format contact number is independent evidence of Russian involvement in the management of Green Mining at the level of administrative correspondence; it does not, on its own, demonstrate Russian beneficial ownership. The chapter does not adjudicate between the three pieces of evidence; it reports them. The geographic contiguity of the Green Mining EPL block (south of, and immediately adjacent to, the Headspring footprint, running through the town of Stampriet to Gochas) is visible on Figure 6.3 and is itself an analytical fact irrespective of the unresolved corporate-parentage question. The cumulative record (investigative-journalism allegation, formal corporate denial, MME-recorded Russian contact number, geographic contiguity) is reported in full. The chapter declines to draw a corporate-parentage conclusion the evidentiary record does not warrant.</w:t>
      </w:r>
    </w:p>
    <w:p>
      <w:pPr>
        <w:spacing w:line="336" w:lineRule="auto" w:after="160"/>
        <w:jc w:val="both"/>
      </w:pPr>
      <w:r>
        <w:rPr>
          <w:i w:val="0"/>
          <w:sz w:val="23"/>
        </w:rPr>
        <w:t>Uraplant Mining (Pty) Ltd was previously registered as Mangrove (Pty) Ltd. The name-change is corroborated by direct documentary comparison of the August 2021 Background Information Document issued under the Mangrove name and the March 2022 Scoping Report issued under the Uraplant name, both covering the same EPLs (7795, 7796, 7798, 7799, 7800) and prepared by the same consultant (Uraplant Mining, 2022). The company's director, on the source held by the author, is Roman Hladunyak (Hladunyak, 2024; held on file by author). Beyond that, no corroborated corporate parentage or country of incorporation for Uraplant Mining has been located in the publicly accessible record at the time of writing. Zoya Minerals CC, Dealmaker Investments, Collossol Aranos Mining, Stoneworks Mining, Narubis Resource, Twee River Resource, Tiecheng Mining, and P.N. Amunela appear in the EPL register as separate legal holders or applicants; no corporate-parentage evidence linking any of these to one another or to the Uranium One/Rosatom lineage has been located in the publicly accessible record we have searched.</w:t>
      </w:r>
    </w:p>
    <w:p>
      <w:pPr>
        <w:spacing w:line="336" w:lineRule="auto" w:after="160"/>
        <w:jc w:val="both"/>
      </w:pPr>
      <w:r>
        <w:rPr>
          <w:i w:val="0"/>
          <w:sz w:val="23"/>
        </w:rPr>
        <w:t>A further finding from the MME's own licence-contact register (Ministry of Mines and Energy, 2025) bears directly on how the EPL holders should be characterised analytically. Cross-tabulation of the register by shared address, shared P.O. Box, shared phone number, and shared contact-email reveals that what appears in the register as approximately twenty distinct corporate or individual SAB-region holders is, in administrative-contact terms, substantially concentrated into a small number of corporate-services nexuses. Three such nexuses are visible in the register. The first is the 19 Bodin Street, Academia, Windhoek nexus: Dealmaker Investments (Pty) Ltd and at least nine further entities (Nausgomab Natural Resources, Katatswa Natural Resources, Pison Mining and Resources, Luminix Mining and Resources, Earthlink Mining and Resources, Vetura Mining and Resources, Alpha Mining and Resources, Gomab Natural Resources, and Nara Natural Resources) share the same address, the same P.O. Box, the same phone number, and the same personal-email contact. The second is the Unit 314 Freedom Plaza, Michael Scott Street, Windhoek nexus: Tiecheng Mining and approximately twelve further Chinese-named entities (including Linghang Mining and Investment, Mingsheng Investments, J. Shilongo Trading, Eternal Sun Energy and Investment, TiaHao Lithium Industry, Pandumatty Investment, Hopson Lithium Mining, Cornerstone Mining, Zhongzhenga Mining and Agricultural Technology, Yongsheng Lithium Industry, Quiancheng Mining Investment, and Jitai Chuang Mining) share the same address, the same P.O. Box, and the same phone number. The third is the Arno Henker Haus, 1654 Independence Avenue, Windhoek co-location: Zoya Minerals CC and Okufula Rare Minerals CC share the same address, the same P.O. Box, and the same phone number. Co-location and shared contact details do not, on their own, demonstrate common beneficial ownership. They are, however, evidence of common administration. The analytical implication is consequential. A defensible characterisation of the basin-wide pattern is that the EPL register shows approximately 59% of the SAB under uranium-exploration licence, distributed across a nominal twenty-plus corporate holders, but with substantial administrative concentration into a small number of shared-address nexuses. Where multiple legal applicants share a single administrative address, the question of who is in fact applying for what becomes harder for affected communities to track, and the procedural standing of 'the proponent' disaggregates across multiple legal counterparts the community cannot easily distinguish. This is the architectural-disaggregation problem Owen and Kemp (2017, pp. 30 to 37) identify as a structural feature of extractive-sector procedural arrangements; the Headspring/STAS case displays it in the register itself.</w:t>
      </w:r>
    </w:p>
    <w:p>
      <w:pPr>
        <w:spacing w:line="336" w:lineRule="auto" w:after="160"/>
        <w:jc w:val="both"/>
      </w:pPr>
      <w:r>
        <w:rPr>
          <w:i w:val="0"/>
          <w:sz w:val="23"/>
        </w:rPr>
        <w:t>The analytical work of this section does not require the spreadsheet author's working annotations linking Green Mining, Uraplant, and Zoya Minerals to the Uranium One corporate group to be treated as documented fact. The substantive findings the register supports stand on the documented register itself. Three findings deserve particular emphasis. First, the scale of the licensing programme: approximately 59% of the SAB is currently under uranium-exploration licence or pending application. The Headspring controversy that has been the focus of public discussion is therefore one component of a basin-wide uranium-exploration architecture, not the whole of it. Second, the temporal pattern of the licensing programme: Headspring's original EPLs were issued in 2011 and 2018; the Uraplant/Mangrove, Green Mining, and Zoya licences were issued in 2020 and 2023; Dealmaker received its EPL in April 2025; and the further ten applications were submitted between July 2024 and November 2025, that is, after the 2021 MAWLR permit-withdrawal letter, after the public emergence of the controversy, and during the period in which UNESCO, IGRAC, ORASECOM, NCE, SAUMA, and MAWLR were issuing the documented positions presented in §§6.2.3 to 6.2.5. The MME's administrative behaviour, across this period, has been to continue processing and expanding the licensing programme rather than to await the resolution of the substantive question. Third, the spatial pattern of the licensing programme, as shown by Figure 6.3: the Green Mining block sits geographically contiguous with the Headspring block, forming what is in effect a single uranium-exploration footprint of approximately 1.38 million hectares running from north of Leonardville through the Stampriet town area to Gochas; the Zoya block forms a separate but adjacent south-central swath; and the pending applications cluster along the edges of the existing footprint and in the remaining gaps, suggesting an active process of progressive infill rather than consolidation of established positions.</w:t>
      </w:r>
    </w:p>
    <w:p>
      <w:pPr>
        <w:spacing w:line="336" w:lineRule="auto" w:after="160"/>
        <w:jc w:val="both"/>
      </w:pPr>
      <w:r>
        <w:rPr>
          <w:i w:val="0"/>
          <w:sz w:val="23"/>
        </w:rPr>
        <w:t>Three implications follow that bear directly on the chapter's central argument. First, the social-licence question is broader in scope than the Headspring project alone. Five corporate groupings (Headspring, Uraplant, Green Mining, Zoya Minerals, and Dealmaker) currently hold active uranium EPLs across the SAB, and six further applications are pending. If the project the affected communities are being asked to consent to is in fact a basin-wide uranium-exploration programme of which Headspring's ISL proposal is the most advanced component, the procedural arrangements under which consent might legitimately be granted would have to address the programme as a whole, not the Headspring component in isolation. Second, the geographic encirclement of the town of Stampriet itself by the Green Mining EPL block (EPLs 7822, 7823, 7824, 7825) means that the residents of Stampriet are not living 'near' mining; they are living within the footprint of fully claimed uranium-exploration tenements. The place-attachment analysis in §5.6, and the reluctant-inclusion finding in §6.4.7, both apply in their strongest form to a community whose entire jurisdictional area is under uranium-exploration claim. Third, the MME's administrative behaviour, documented through the continuous processing of EPLs through a period of acknowledged controversy, strengthens the §6.3 characterisation of the state's split as asymmetrically resourced. The protective limb of the state speaks through occasional ministerial letters, parliamentary statements, and engagement with UNESCO and the IAEA; the promoting limb acts through continuous administrative processing across nearly 60% of the basin, processing that is itself organised through a register whose own contact data reveal substantial administrative concentration into a small number of corporate-services nexuses (Ministry of Mines and Energy, 2025). The split, on the documented record, is not a balance of two state limbs; it is the protective limb speaking against an administrative behaviour that has not paused, conducted through a licensing programme whose own administrative architecture is concentrated in ways the affected community cannot easily read.</w:t>
      </w:r>
    </w:p>
    <w:p>
      <w:pPr>
        <w:spacing w:before="360" w:after="120"/>
      </w:pPr>
      <w:r>
        <w:rPr>
          <w:b/>
          <w:color w:val="1F3864"/>
          <w:sz w:val="32"/>
        </w:rPr>
        <w:t>6.3  The state's split position: structure, stability, and the problem of authoritative voice</w:t>
      </w:r>
    </w:p>
    <w:p>
      <w:pPr>
        <w:spacing w:line="336" w:lineRule="auto" w:after="160"/>
        <w:jc w:val="both"/>
      </w:pPr>
      <w:r>
        <w:rPr>
          <w:i w:val="0"/>
          <w:sz w:val="23"/>
        </w:rPr>
        <w:t>The documentary record set out in §§6.2.2 and 6.2.3 establishes that the Namibian state's position on the project is split between a promoting limb (Mines and Energy; the Environmental Commissioner's active clearance process; the Parliamentary Standing Committee under its present leadership) and a protective limb (the Ministry of Agriculture, Water and Land Reform under successive ministers; the Cabinet's 'decision based on science' commitment; the engagement of UNESCO, IGRAC, and the IAEA for technical input). The section that follows does not return to the documentary record but interrogates the structure of the split itself. It asks three analytical questions in sequence. First, what is the cartography of the state position, which institutions occupy which limb, and how is the boundary between them drawn? Second, why has the split stabilised across changes of minister and changes of committee chair, when one would normally expect inter-ministerial disagreements of this kind to be resolved through Cabinet, through party discipline, or through executive intervention? Third, what does the persistence of the split mean for the procedural architecture of the project, and in particular for the question of who speaks authoritatively for the state when the state speaks in opposing voices on the same issue?</w:t>
      </w:r>
    </w:p>
    <w:p>
      <w:pPr>
        <w:spacing w:before="280" w:after="120"/>
      </w:pPr>
      <w:r>
        <w:rPr>
          <w:b/>
          <w:color w:val="1F3864"/>
          <w:sz w:val="27"/>
        </w:rPr>
        <w:t>6.3.1  The cartography of the split</w:t>
      </w:r>
    </w:p>
    <w:p>
      <w:pPr>
        <w:spacing w:line="336" w:lineRule="auto" w:after="160"/>
        <w:jc w:val="both"/>
      </w:pPr>
      <w:r>
        <w:rPr>
          <w:i w:val="0"/>
          <w:sz w:val="23"/>
        </w:rPr>
        <w:t>The state's position fragments along four institutional axes that are recognisable from §5.3 (the seven directions of the trust environment) but whose internal logic is best examined here, where the documented record is in view. The four axes are: the resource-promotion axis carried by the Ministry of Mines and Energy and the Environmental Commissioner's clearance process; the water-protection axis carried by MAWLR through its statutory responsibility for the Subterranean Water Controlled Area; the parliamentary-oversight axis carried by the Standing Committee on Natural Resources, the Office of the Auditor-General to a limited extent, and individual MPs in opposition; and the executive-coordinating axis carried by Cabinet and by the Office of the Prime Minister. These four axes do not correspond to a neat division between developmental and protective state functions. They cross-cut. The Standing Committee, ostensibly an oversight body, has positioned itself with the promoting limb. The Office of the Environmental Commissioner, ostensibly a protective body, has not produced a substantive refusal. Cabinet, ostensibly the locus of executive resolution, has issued a process commitment rather than a substantive position. The result is not a binary state position with two opposing camps but a quadrilateral in which the four axes speak past one another in different registers.</w:t>
      </w:r>
    </w:p>
    <w:p>
      <w:pPr>
        <w:spacing w:line="336" w:lineRule="auto" w:after="160"/>
        <w:jc w:val="both"/>
      </w:pPr>
      <w:r>
        <w:rPr>
          <w:i w:val="0"/>
          <w:sz w:val="23"/>
        </w:rPr>
        <w:t>The boundary between the promoting and protective limbs is also drawn by the type of evidence each limb requires before it will act. The promoting limb works to the legal-procedural standard that contamination has not been demonstrated to have already occurred. The Standing Committee's 2025 report (Parliamentary Standing Committee on Natural Resources, 2025) puts this standard formally on the record by recommending continuation 'in the absence of evidence that groundwater has been or will be contaminated'. The protective limb works to the precautionary standard set out by the Water Resources Management Act of 2013 and the Subterranean Water Controlled Area declaration, which require that prospective contamination be shown to be improbable before risk-bearing activity is permitted (Republic of Namibia, 2013; Eckstein, 2017; Schlosberg, 2007, pp. 6 to 10). These two standards are not reconcilable on the same factual matrix. The legal-procedural standard cannot be satisfied with prospective evidence because prospective evidence is exactly what it excludes by design; the precautionary standard cannot be satisfied with the proponent's self-restoration argument because self-restoration is exactly what international hydrogeological consensus contests. The state's split is therefore not principally about disagreement on the facts of the case; it is about disagreement on the standards by which facts in this case should be assessed.</w:t>
      </w:r>
    </w:p>
    <w:p>
      <w:pPr>
        <w:spacing w:line="336" w:lineRule="auto" w:after="160"/>
        <w:jc w:val="both"/>
      </w:pPr>
      <w:r>
        <w:rPr>
          <w:i w:val="0"/>
          <w:sz w:val="23"/>
        </w:rPr>
        <w:t>Three further features of the cartography are visible from the documentary record. First, the four axes are mediated by different professional knowledge communities. The Mines and Energy limb is shaped by mining-engineering and resource-economic logic; the MAWLR limb by hydrogeology and agricultural-economic logic; the Standing Committee by parliamentary-political logic; the Cabinet by executive-coordinating logic. These communities do not share a scientific lingua franca on this case, consistent with Ehrnström-Fuentes's (2016, pp. 444 to 448) argument that environmental-conflict cases in extractive industries typically involve a pluriverse of contending ontologies rather than a single field within which disputes can be adjudicated. Second, the axes have different external alliances. The Mines and Energy axis is aligned with the industry (the NUA, the proponent) and with the diplomatic-investment relationship with Rosatom and the Russian state; the MAWLR axis is aligned with SAUMA, the NAU, the NCE, ORASECOM, IGRAC, and the technical authorities; the Standing Committee under its present leadership is aligned with the Mines and Energy axis while continuing to claim oversight independence; the Cabinet is aligned with both, by design. Third, the axes have different publics. Mines and Energy's public is investors, the industry, and the Cabinet; MAWLR's public is farmers, communities, scientists, and the protective civil society network; the Standing Committee's public is, formally, Parliament and the electorate, although in practice the present Committee has spoken more to the proponent and its allies than to either. The split is not, therefore, a disagreement among officials who otherwise share the same audience. It is a disagreement among officials who address different audiences with different evidentiary expectations and different professional logics.</w:t>
      </w:r>
    </w:p>
    <w:p>
      <w:pPr>
        <w:spacing w:before="280" w:after="120"/>
      </w:pPr>
      <w:r>
        <w:rPr>
          <w:b/>
          <w:color w:val="1F3864"/>
          <w:sz w:val="27"/>
        </w:rPr>
        <w:t>6.3.2  Why the split has stabilised across changes of minister and committee chair</w:t>
      </w:r>
    </w:p>
    <w:p>
      <w:pPr>
        <w:spacing w:line="336" w:lineRule="auto" w:after="160"/>
        <w:jc w:val="both"/>
      </w:pPr>
      <w:r>
        <w:rPr>
          <w:i w:val="0"/>
          <w:sz w:val="23"/>
        </w:rPr>
        <w:t>Inter-ministerial disagreement in Namibia is normally resolved either by Cabinet (where it is escalated) or by executive direction of the President (where it is politicised). The state's split on the Headspring case has remained unresolved by either of these mechanisms for over four years and has stabilised across material changes of personnel and across the 2024 transfer of executive office. This persistence requires analytical attention; it is not the default outcome and it tells us something about the structure of the case.</w:t>
      </w:r>
    </w:p>
    <w:p>
      <w:pPr>
        <w:spacing w:line="336" w:lineRule="auto" w:after="160"/>
        <w:jc w:val="both"/>
      </w:pPr>
      <w:r>
        <w:rPr>
          <w:i w:val="0"/>
          <w:sz w:val="23"/>
        </w:rPr>
        <w:t>Three structural reasons for the stabilisation are visible in the documentary record. The first is the statutory configuration of the case. MAWLR's authority to issue, condition, and withdraw permits in the Subterranean Water Controlled Area is conferred by the Water Resources Management Act 11 of 2013 (Republic of Namibia, 2013); the Ministry of Mines and Energy's authority to grant and maintain exclusive prospecting licences is conferred by the Minerals (Prospecting and Mining) Act 33 of 1992 (Republic of Namibia, 1992); the Ministry of Environment, Forestry and Tourism's authority over the environmental clearance certificate is conferred by the Environmental Management Act 7 of 2007 (Republic of Namibia, 2007); and the Atomic Energy and Radiation Protection Act 5 of 2005 (Republic of Namibia, 2005) introduces a further regulatory axis for radioactive materials. None of these statutes confers co-ordinating primacy on any single ministry, and none provides a statutory mechanism for resolving inter-ministerial disagreement in the configuration this case presents. The split is therefore permitted, even produced, by the statutory architecture itself (Mostert, 2014, pp. 56 to 63). Cabinet could in principle resolve the matter by political direction, but to do so would require Cabinet to either over-rule MAWLR (which would expose the executive to the documentary record of the 2021 permit-withdrawal letter and to the ORASECOM and IGRAC technical positions) or over-rule Mines and Energy and the Standing Committee (which would expose the executive to the development and investment narrative the project has been carrying). Neither resolution is politically costless, and the Cabinet has so far preferred the cost of unresolution to the cost of resolution.</w:t>
      </w:r>
    </w:p>
    <w:p>
      <w:pPr>
        <w:spacing w:line="336" w:lineRule="auto" w:after="160"/>
        <w:jc w:val="both"/>
      </w:pPr>
      <w:r>
        <w:rPr>
          <w:i w:val="0"/>
          <w:sz w:val="23"/>
        </w:rPr>
        <w:t>The second structural reason is the personnel change pattern. Schlettwein's documented MAWLR position has been substantively continued by his successor Zaamwani-Kamwi (Africa Briefing, 2025; Brown and Shipena, 2024). That the precautionary position has persisted under a change of minister suggests that the MAWLR position is not principally a function of individual ministerial preference but of the institutional logic of MAWLR's mandate over the controlled aquifer. Equivalently, the Standing Committee's promoting position survived the chairing transition from Tweya to Aupindi, and Aupindi has elaborated the Committee's position more aggressively than Tweya did, with the 'investment hostage' framing in 2026 (Carnie, 2026) and the characterisation of opposition as 'mostly not based on any specific scientific data'. The Committee's position, like MAWLR's, appears institutionally rather than personally driven. Personnel change has not been the resolution mechanism. If anything, personnel change has hardened both limbs.</w:t>
      </w:r>
    </w:p>
    <w:p>
      <w:pPr>
        <w:spacing w:line="336" w:lineRule="auto" w:after="160"/>
        <w:jc w:val="both"/>
      </w:pPr>
      <w:r>
        <w:rPr>
          <w:i w:val="0"/>
          <w:sz w:val="23"/>
        </w:rPr>
        <w:t>The third structural reason is the dual incentive structure under which Cabinet is operating. On one hand, the project promises substantial investment, foreign exchange, and several hundred direct jobs in a region with high unemployment, and the project is backed by a state-affiliated counterpart with significant diplomatic standing (Carmody, 2016, pp. 132 to 139, on the new scramble for African resource extraction). On the other hand, the case carries non-trivial contingent liabilities. The transboundary character of the aquifer means that contamination would expose the Namibian government to claims under SADC water-sharing protocols and to potential reparation claims by Botswana and South Africa (Eckstein, 2017; Namibian Chamber of Environment, 2025). The convergent scientific position of NCE, IGRAC, ORASECOM, and Miller means that authorising the project would proceed against a documented technical consensus. The political record of the Republican Party's influence-payment allegation (The Namibian, 2026b) means that approval carries reputational risk in addition to liability risk. Cabinet's 'decision based on science' commitment (The Namibian, 2026a) is, in effect, a delay strategy. It neither approves nor refuses; it transfers the contested question to a science-based assessment process whose outcome is not yet determined and which buys time without committing the executive to either limb. On the documented record, the split appears to be sustained rather than actively resolved by the executive, not despite the political stakes but in part because of them.</w:t>
      </w:r>
    </w:p>
    <w:p>
      <w:pPr>
        <w:spacing w:line="336" w:lineRule="auto" w:after="160"/>
        <w:jc w:val="both"/>
      </w:pPr>
      <w:r>
        <w:rPr>
          <w:i w:val="0"/>
          <w:sz w:val="23"/>
        </w:rPr>
        <w:t>These three reasons interact. The statutory architecture permits the split; the institutional logic of each limb keeps it stable across personnel change; the executive's dual incentive structure is best served by prolonging the unresolution. The split is not an accident of bureaucratic dysfunction. It is a stabilised configuration that performs a particular political function: it allows the state to continue carrying both the developmental and the protective narrative simultaneously, deferring the moment at which it will have to choose between them.</w:t>
      </w:r>
    </w:p>
    <w:p>
      <w:pPr>
        <w:spacing w:before="280" w:after="120"/>
      </w:pPr>
      <w:r>
        <w:rPr>
          <w:b/>
          <w:color w:val="1F3864"/>
          <w:sz w:val="27"/>
        </w:rPr>
        <w:t>6.3.3  The cost of the split for the procedural conditions of legitimacy</w:t>
      </w:r>
    </w:p>
    <w:p>
      <w:pPr>
        <w:spacing w:line="336" w:lineRule="auto" w:after="160"/>
        <w:jc w:val="both"/>
      </w:pPr>
      <w:r>
        <w:rPr>
          <w:i w:val="0"/>
          <w:sz w:val="23"/>
        </w:rPr>
        <w:t>The split's political function for the executive is purchased at a considerable cost for the procedural conditions of legitimacy. Three costs are visible in the documentary record and in the qualitative corpus already presented in Chapter 5.</w:t>
      </w:r>
    </w:p>
    <w:p>
      <w:pPr>
        <w:spacing w:line="336" w:lineRule="auto" w:after="160"/>
        <w:jc w:val="both"/>
      </w:pPr>
      <w:r>
        <w:rPr>
          <w:i w:val="0"/>
          <w:sz w:val="23"/>
        </w:rPr>
        <w:t>The first cost is the destruction of a single authoritative state voice on the project. Moffat and Zhang's (2014, pp. 64 to 68) procedural-fairness account of social licence depends on the existence of an authoritative process voice through which affected communities can engage the state with reasonable expectation of a considered response. When the state speaks in opposing voices across MAWLR, Mines and Energy, the Standing Committee, and the Cabinet, and when each voice carries documented institutional standing, the affected community cannot identify a single state interlocutor whose response will hold across the field. Aminuis elders in the focus-group corpus (FG-Aminuis-2; FG-Aminuis-3) frequently express this in the formula 'we are told different things by different ministries', a description not of personal confusion but of an objective feature of the procedural architecture. The 2025 Standing Committee report and the 2021 MAWLR permit-withdrawal letter are both authentic documented state positions; they reach incompatible conclusions on the same factual base; and the affected community has no means of knowing which to treat as authoritative.</w:t>
      </w:r>
    </w:p>
    <w:p>
      <w:pPr>
        <w:spacing w:line="336" w:lineRule="auto" w:after="160"/>
        <w:jc w:val="both"/>
      </w:pPr>
      <w:r>
        <w:rPr>
          <w:i w:val="0"/>
          <w:sz w:val="23"/>
        </w:rPr>
        <w:t>The second cost is the procedural transfer of evidentiary burden. Where the state's position is split between an institution working to a legal-procedural standard ('no proven contamination yet') and an institution working to a precautionary standard ('show that contamination is improbable'), the unresolved status of the disagreement means that, in practice, the legal-procedural standard becomes the operative one. This is so for an institutional reason: the precautionary standard requires proactive ministerial action to halt the project, whereas the legal-procedural standard requires ministerial action to halt only after demonstrated harm. Inaction in the face of an unresolved disagreement defaults to the permissive position, not to the precautionary one. The Standing Committee's report institutionalises this drift by formally placing the evidentiary burden on those raising concerns to prove prospective contamination, which, as Carnie's (2026) coverage documents, is precisely the burden the proponent's monitoring design is constructed to make difficult to discharge. Owen and Kemp's (2017, pp. 21 to 28) account of the systematic asymmetry between corporate procedural capacity and community procedural capacity in extractive cases is borne out at the level of state architecture here.</w:t>
      </w:r>
    </w:p>
    <w:p>
      <w:pPr>
        <w:spacing w:line="336" w:lineRule="auto" w:after="160"/>
        <w:jc w:val="both"/>
      </w:pPr>
      <w:r>
        <w:rPr>
          <w:i w:val="0"/>
          <w:sz w:val="23"/>
        </w:rPr>
        <w:t>The third cost is the displacement of substantive disagreement into proceduralism. Renn's (2008, pp. 174 to 190) risk-governance framework distinguishes between substantive risk disputes, in which the parties disagree about the facts of a hazard, and structural risk disputes, in which the parties disagree about how a hazard should be governed, by whom, on what evidentiary basis, and with what allocation of liability. The Headspring case is, on the documentary record, predominantly a structural risk dispute. The technical consensus on the irreversibility of ISL contamination of high-quality drinking-water aquifers is shared across NCE, IGRAC, ORASECOM, Miller, the Water Solutions Group, and (implicitly) MAWLR. What is contested is who has the authority to call the question, on what evidence, with what burden, and with what consequence. The state's split, however, allows the dispute to be presented publicly as if it were substantive, as if the question were whether contamination would occur, rather than whose role it is to ensure that it will not. The displacement is procedurally consequential because it routes the affected community into a debate they cannot resolve (the hydrogeological one) and out of the debate that bears on their rights (the procedural-justice one).</w:t>
      </w:r>
    </w:p>
    <w:p>
      <w:pPr>
        <w:spacing w:line="336" w:lineRule="auto" w:after="160"/>
        <w:jc w:val="both"/>
      </w:pPr>
      <w:r>
        <w:rPr>
          <w:i w:val="0"/>
          <w:sz w:val="23"/>
        </w:rPr>
        <w:t>These three costs are not purely theoretical. The NEWS documentary position presented in §6.2.4 (Pallett and Iipinge, 2024) supplies empirical Namibian evidence that the EIA architecture through which procedural-justice claims would have to be processed is itself failing in measurable ways: only 28% of the 1,189 registered EIAs in the 15-month period to July 2024 were conducted by EAPAN-registered practitioners; statutory notification requirements are met through advertisements placed 'in obscure places, such as the tiny print of the classified ads section of a newspaper'; and the Office of the Environmental Commissioner is documented as not inspecting projects or enforcing Environmental Management Plans (Pallett and Iipinge, 2024). The procedural-cost argument is therefore not an inference from international SLO theory but a description of an EIA architecture whose systemic underperformance has been institutionally documented by the body that operates Namibia's EIA Tracker. These three costs converge on a single procedural conclusion. The state's stabilised split, while politically functional for the executive, removes the precondition that a defensible social licence would require: namely, a state interlocutor who can engage the affected community on shared evidentiary ground and be held to a position over time. Boutilier (2014, pp. 263 to 268) treats social licence as a relational property of the relationship between a project and its host community, but his account presupposes that there is a state party whose role in the relationship is identifiable and stable. In this case there is no such state party. There are four overlapping state parties whose positions cannot be reduced to a single voice without executive intervention that has not, to date, been forthcoming. The full mapping of the case onto Boutilier's four-level licence pyramid (withholding/withdrawal, acceptance, approval, identification) is reserved for §6.7, where it is undertaken against the architecture of community positions, observations, and absences assembled in §§6.4 to 6.6. The invocation here is limited to the relational presupposition that procedural stability in a state interlocutor is a precondition for any of the four levels to be coherently sustained.</w:t>
      </w:r>
    </w:p>
    <w:p>
      <w:pPr>
        <w:spacing w:before="280" w:after="120"/>
      </w:pPr>
      <w:r>
        <w:rPr>
          <w:b/>
          <w:color w:val="1F3864"/>
          <w:sz w:val="27"/>
        </w:rPr>
        <w:t>6.3.4  Implication: what the state's split position cannot do, and what therefore falls to the rest of the field</w:t>
      </w:r>
    </w:p>
    <w:p>
      <w:pPr>
        <w:spacing w:line="336" w:lineRule="auto" w:after="160"/>
        <w:jc w:val="both"/>
      </w:pPr>
      <w:r>
        <w:rPr>
          <w:i w:val="0"/>
          <w:sz w:val="23"/>
        </w:rPr>
        <w:t>Two implications follow that frame the remainder of the chapter. First, the state's split means that the procedural architecture of the project is, in effect, set by whichever non-state actor is best positioned to fill the resulting vacuum. In the Headspring case, the documented record shows two non-state actors with the institutional standing to attempt that filling: the proponent, through its EIA process, its consultation record, and its public communications; and the documented opposition (SAUMA, NCE, NAU, ORASECOM, IGRAC, Roy Miller), through its technical-authority voice, its parliamentary submissions, and its international amplification. Neither, in the absence of a unified state, can make a binding procedural commitment that the other will respect; but each can, and does, attempt to set the terms of the procedural conversation. The conversation that results is the one §6.4 and the rest of the chapter will examine.</w:t>
      </w:r>
    </w:p>
    <w:p>
      <w:pPr>
        <w:spacing w:line="336" w:lineRule="auto" w:after="160"/>
        <w:jc w:val="both"/>
      </w:pPr>
      <w:r>
        <w:rPr>
          <w:i w:val="0"/>
          <w:sz w:val="23"/>
        </w:rPr>
        <w:t>Second, the state's split shifts substantial weight onto the affected community itself, a community in which, as Chapter 5 established, the conditions for organised position-taking are themselves structurally weakened. The affected community must navigate a field in which the state speaks with multiple voices, in which the proponent's procedural standing exceeds its own, in which the documented opposition speaks on the community's behalf without being institutionally accountable to it, and in which the formal village councils and traditional authorities are themselves in the difficult position §6.6 will describe. The architecture of community positions that emerges from this field (refusal, conditional refusal, wait-and-see, pragmatic acquiescence, materially-dependent ambivalence, the structurally absent affirmative) is examined in §6.4 with that structural context in view. The community typology is not free-standing. It is what the field produces under the structural conditions Chapter 5 mapped and under the procedural conditions §6.3 has just described.</w:t>
      </w:r>
    </w:p>
    <w:p>
      <w:pPr>
        <w:spacing w:before="360" w:after="120"/>
      </w:pPr>
      <w:r>
        <w:rPr>
          <w:b/>
          <w:color w:val="1F3864"/>
          <w:sz w:val="32"/>
        </w:rPr>
        <w:t>6.4  The architecture of community positions: a typology aggregated from the focus-group and Village Council corpus</w:t>
      </w:r>
    </w:p>
    <w:p>
      <w:pPr>
        <w:spacing w:line="336" w:lineRule="auto" w:after="160"/>
        <w:jc w:val="both"/>
      </w:pPr>
      <w:r>
        <w:rPr>
          <w:i w:val="0"/>
          <w:sz w:val="23"/>
        </w:rPr>
        <w:t>The qualitative corpus that underpins this section is the six focus groups conducted in Aminuis and Leonardville and the Village Council interview at Leonardville. Across these seven sources (sixty-three participants in total, with a balance across age, gender, livelihood pastoralism, mixed farming, urban service work, casual labour, pensioners, and language community) six distinct typological positions on the project can be identified, together with one position that the corpus shows to be structurally absent. The six present positions are: principled refusal, conditional refusal, wait-and-see, pragmatic acquiescence, materially-dependent ambivalence, and reluctant inclusion. The structurally absent position (organised affirmative endorsement of the project on its own terms) is reserved for §6.6, where the analytical weight of the absence can be carried alongside the other absences in the documented record.</w:t>
      </w:r>
    </w:p>
    <w:p>
      <w:pPr>
        <w:spacing w:line="336" w:lineRule="auto" w:after="160"/>
        <w:jc w:val="both"/>
      </w:pPr>
      <w:r>
        <w:rPr>
          <w:i w:val="0"/>
          <w:sz w:val="23"/>
        </w:rPr>
        <w:t>Three preliminaries belong at the head of the section, before the positions themselves are presented. First, the positions described below are aggregated community-level stances drawn from the convergence of testimony within focus groups and across multiple focus groups in the same community. They are not the positions of named individuals (although direct quotation is used where it carries the analytical weight) and they are emphatically not the positions of organisations within the affected communities. The Aminuis Traditional Authority, the Aminuis Village Council, the Leonardville Village Council, and the local farmers' associations are institutions whose documented position-taking is taken up separately under §6.2 where it exists and under §6.6 where it does not. The typology below tracks the community-level stances that emerge from the focus-group corpus, treated at the level the methodology was designed to access. Second, the typological positions are not strictly mutually exclusive: a single participant in a single focus group may, across the course of the discussion, voice claims associated with two or even three of the positions. What the typology captures is the centre of gravity of an argument, not a fixed personal allegiance. Third, the positions are mapped against each other in Figure 6.1, which the reader is asked to consult alongside the prose. The figure does not replace the prose; it makes visible the relative positions of the stances within a two-dimensional plane defined by material dependence on the project (low to high) and trust in the process (low to high).</w:t>
      </w:r>
    </w:p>
    <w:p>
      <w:pPr>
        <w:spacing w:before="200" w:after="80"/>
        <w:jc w:val="center"/>
      </w:pPr>
      <w:r>
        <w:drawing>
          <wp:inline xmlns:a="http://schemas.openxmlformats.org/drawingml/2006/main" xmlns:pic="http://schemas.openxmlformats.org/drawingml/2006/picture">
            <wp:extent cx="5669280" cy="4370488"/>
            <wp:docPr id="2" name="Picture 2"/>
            <wp:cNvGraphicFramePr>
              <a:graphicFrameLocks noChangeAspect="1"/>
            </wp:cNvGraphicFramePr>
            <a:graphic>
              <a:graphicData uri="http://schemas.openxmlformats.org/drawingml/2006/picture">
                <pic:pic>
                  <pic:nvPicPr>
                    <pic:cNvPr id="0" name="Figure_6_1_Positional_Architecture.png"/>
                    <pic:cNvPicPr/>
                  </pic:nvPicPr>
                  <pic:blipFill>
                    <a:blip r:embed="rId15"/>
                    <a:stretch>
                      <a:fillRect/>
                    </a:stretch>
                  </pic:blipFill>
                  <pic:spPr>
                    <a:xfrm>
                      <a:off x="0" y="0"/>
                      <a:ext cx="5669280" cy="4370488"/>
                    </a:xfrm>
                    <a:prstGeom prst="rect"/>
                  </pic:spPr>
                </pic:pic>
              </a:graphicData>
            </a:graphic>
          </wp:inline>
        </w:drawing>
      </w:r>
    </w:p>
    <w:p>
      <w:pPr>
        <w:spacing w:after="280"/>
        <w:jc w:val="center"/>
      </w:pPr>
      <w:r>
        <w:rPr>
          <w:i/>
          <w:color w:val="595959"/>
          <w:sz w:val="20"/>
        </w:rPr>
        <w:t>Figure 6.1. Positional architecture of the affected communities: material dependence on the project by trust in the process. Source: Author's compilation from the seventeen-source qualitative corpus (focus groups; Village Council interview; key informant interviews). Marker placement is analytical, not measured; positions represent typological clusters identified through hybrid directed-inductive thematic analysis.</w:t>
      </w:r>
    </w:p>
    <w:p>
      <w:pPr>
        <w:spacing w:before="280" w:after="120"/>
      </w:pPr>
      <w:r>
        <w:rPr>
          <w:b/>
          <w:color w:val="1F3864"/>
          <w:sz w:val="27"/>
        </w:rPr>
        <w:t>6.4.1  The typology in outline</w:t>
      </w:r>
    </w:p>
    <w:p>
      <w:pPr>
        <w:spacing w:line="336" w:lineRule="auto" w:after="160"/>
        <w:jc w:val="both"/>
      </w:pPr>
      <w:r>
        <w:rPr>
          <w:i w:val="0"/>
          <w:sz w:val="23"/>
        </w:rPr>
        <w:t>Figure 6.1 organises the six present positions across a plane whose axes are themselves analytic claims about the case. The horizontal axis is material dependence on the project, the degree to which a participant's livelihood, household income, or community fiscal base would be affected by the project's proceeding or being blocked. The vertical axis is trust in the process, the degree to which a participant believes the procedural channels currently in use (the EIA, the parliamentary committee, the ministerial regulatory architecture) are capable of producing a fair, informed, and accountable decision. The axes are chosen because they correspond directly to the two conditions Chapter 5 identified as most structurally consequential: the political economy of poverty and the asymmetric trust environment. The two empty quadrants ('principled support': approval not driven by need; and 'active endorsement': the position Boutilier (2014) calls 'approval' shading into 'identification') are visibly empty in the figure. The upper-left emptiness is itself a finding about the field. The position it would name (affirmative support for the project from participants whose livelihoods are not materially dependent on it and whose trust in the procedural channels is high) would require both a community-side constituency that does not currently exist (an unaffected but supportive group with confidence in the EIA, parliamentary-committee, and ministerial architecture) and a procedural architecture whose performance has earned that confidence. §6.6 examines the structural absence of the first; §6.3 and §§5.2 to 5.3 have already documented the deficit on the second. The structurally absent affirmative grassroots voice, indicated by the grey marker in the upper-right, has no occupants in the corpus either, and the procedural conditions for such occupancy are the subject of §6.6.</w:t>
      </w:r>
    </w:p>
    <w:p>
      <w:pPr>
        <w:spacing w:line="336" w:lineRule="auto" w:after="160"/>
        <w:jc w:val="both"/>
      </w:pPr>
      <w:r>
        <w:rPr>
          <w:i w:val="0"/>
          <w:sz w:val="23"/>
        </w:rPr>
        <w:t>Two features of the figure deserve emphasis before the individual positions are examined. The first is the visible weight of the lower half of the plane: five of the six populated positions sit below the trust-in-the-process midline, and the sixth (pragmatic-acquiescent) sits only just above it. This is not an artefact of marker placement. It is a finding about what trust the procedural architecture has earned with the affected community. The second is the horizontal spread within the lower band. The lower-left (refusal) quadrant contains the principled-refuser cluster, drawn predominantly from Aminuis pastoralists in the focus-group corpus, together with the principled-refuser community positions in Leonardville (FG-Leonardville-1). Convergent individual informed-observer accounts in this position are presented separately in §6.5 and do not populate the community-level figure. The lower-right (acquiescence-under-material-pressure) quadrant contains the materially-dependent-ambivalent cluster drawn predominantly from Leonardville job-seekers, casual labourers, and some local businesses. The intermediate positions (conditional refusers, wait-and-see, and pragmatic acquiescence) populate the centre of the plane and are mixed across the two communities. The horizontal spread is what the Aminuis-Leonardville gradient looks like at the level of community positions; the vertical position is broadly shared.</w:t>
      </w:r>
    </w:p>
    <w:p>
      <w:pPr>
        <w:spacing w:before="280" w:after="120"/>
      </w:pPr>
      <w:r>
        <w:rPr>
          <w:b/>
          <w:color w:val="1F3864"/>
          <w:sz w:val="27"/>
        </w:rPr>
        <w:t>6.4.2  Principled refusers</w:t>
      </w:r>
    </w:p>
    <w:p>
      <w:pPr>
        <w:spacing w:line="336" w:lineRule="auto" w:after="160"/>
        <w:jc w:val="both"/>
      </w:pPr>
      <w:r>
        <w:rPr>
          <w:i w:val="0"/>
          <w:sz w:val="23"/>
        </w:rPr>
        <w:t>The principled-refuser position is the most analytically distinct cluster in the corpus. It is held by participants whose refusal of the project is presented as categorical: not 'we object to this project as currently designed', but 'we cannot, on the conditions that would make consent meaningful, consent to this kind of project at all'. The cluster is found predominantly among Aminuis pastoralists in FG-Aminuis-2 and FG-Aminuis-3, and is reinforced by the convergent informed-observer accounts of the LAC, the ECC, and independent scientists (treated separately in §6.5). The cluster also includes a smaller group of older Leonardville participants in FG-Leonardville-1 whose refusal is presented in place-attachment terms rather than in livelihood terms.</w:t>
      </w:r>
    </w:p>
    <w:p>
      <w:pPr>
        <w:spacing w:line="336" w:lineRule="auto" w:after="160"/>
        <w:jc w:val="both"/>
      </w:pPr>
      <w:r>
        <w:rPr>
          <w:i w:val="0"/>
          <w:sz w:val="23"/>
        </w:rPr>
        <w:t>The principled-refuser argument has four characteristic moves. The first is non-substitutability: water is the irreducible condition of pastoral livelihood in this landscape, and what cannot be substituted cannot be put at risk for material gain that is itself substitutable. 'You cannot eat uranium', as the formulation recurred across the Aminuis groups, captures this move precisely. It is not a rhetorical flourish. It is an argument about the structural hierarchy of goods (Schlosberg, 2007, pp. 11 to 14; Owen and Kemp, 2017, pp. 78 to 81). The second is irreversibility: principled refusers consistently argue that contamination of the aquifer would foreclose options for future generations, and that this kind of foreclosure is not a risk that the present generation is entitled to take. The framing here is intergenerational, and it is closer to Adger et al.'s (2011) account of place attachment as a basis for refusing place-altering interventions than it is to a simple cost-benefit assessment. The third is procedural asymmetry: principled refusers do not accept that the procedural channels currently in use are capable of producing a decision the community could be expected to accept, because (in their account) the channels are themselves structured in ways that prefigure the outcome. The Standing Committee's reversal of the evidentiary burden (§6.3.1) is recognised by participants in this position, often without the technical vocabulary, as making the channel unfair before it has begun. The fourth is rejection of the implicit trade: principled refusers refuse the framing in which the question is whether the jobs are worth the water; they argue that the question itself is wrongly posed.</w:t>
      </w:r>
    </w:p>
    <w:p>
      <w:pPr>
        <w:spacing w:line="336" w:lineRule="auto" w:after="160"/>
        <w:jc w:val="both"/>
      </w:pPr>
      <w:r>
        <w:rPr>
          <w:i w:val="0"/>
          <w:sz w:val="23"/>
        </w:rPr>
        <w:t>Two features of the principled-refuser cluster matter for the chapter's argument. First, the position is not a function of ignorance of the project; participants in this position are, on the contrary, among the better-informed in the focus-group corpus. The principled refusers in the Aminuis groups frequently know what ISL is, know what alpha and beta activity refers to in broad terms, and know what the 2021 permit-withdrawal letter found. Their refusal is not the refusal of those who have not been informed. It is the refusal of those who have been informed and have reached a substantive judgement. Conde and Le Billon's (2017) account of why some communities resist extractive projects while others do not is borne out here: the predictor of refusal is not poverty (Aminuis is poorer than Leonardville) but the perceived irreversibility of the threat against a livelihood that cannot be substituted. Second, the principled refusers in the Aminuis corpus are mostly older pastoralists, often women, and their refusal is anchored in a temporal frame that extends backward through ancestral land claims and forward through intergenerational responsibility. This is the population whose place-attachment substrate §5.6 set out; their refusal of the project is the most direct community-level expression of that substrate.</w:t>
      </w:r>
    </w:p>
    <w:p>
      <w:pPr>
        <w:spacing w:before="280" w:after="120"/>
      </w:pPr>
      <w:r>
        <w:rPr>
          <w:b/>
          <w:color w:val="1F3864"/>
          <w:sz w:val="27"/>
        </w:rPr>
        <w:t>6.4.3  Conditional refusers</w:t>
      </w:r>
    </w:p>
    <w:p>
      <w:pPr>
        <w:spacing w:line="336" w:lineRule="auto" w:after="160"/>
        <w:jc w:val="both"/>
      </w:pPr>
      <w:r>
        <w:rPr>
          <w:i w:val="0"/>
          <w:sz w:val="23"/>
        </w:rPr>
        <w:t>The conditional-refuser cluster sits adjacent to the principled refusers in Figure 6.1, slightly higher on the trust axis and slightly to the right on the material-dependence axis. Conditional refusers oppose the project as presently designed but argue that their refusal is contingent rather than categorical: were certain conditions to be met (typically an independent international scientific review, a binding transboundary consultation involving Botswana and South Africa, and a credible liability regime that would survive the proponent's withdrawal from the country) the refusal could in principle be revisited. The cluster is drawn from middle-aged participants across both communities, including civic-leadership figures in Aminuis and farming households in Leonardville whose livelihoods are not directly contingent on project employment.</w:t>
      </w:r>
    </w:p>
    <w:p>
      <w:pPr>
        <w:spacing w:line="336" w:lineRule="auto" w:after="160"/>
        <w:jc w:val="both"/>
      </w:pPr>
      <w:r>
        <w:rPr>
          <w:i w:val="0"/>
          <w:sz w:val="23"/>
        </w:rPr>
        <w:t>Three features distinguish the conditional refusers from the principled refusers. First, conditional refusers retain a procedural openness that principled refusers do not. They acknowledge that, under different procedural arrangements, the question might be assessed differently. Second, they often carry more detailed knowledge of the documentary record (the MAWLR permit withdrawal, the NCE op-ed, the ORASECOM position) and their refusal is more explicitly anchored in that record. Third, and most consequentially, their conditional refusal is operationally indistinguishable from principled refusal in the present moment. The conditions they require for revisiting refusal (independent international review, transboundary consultation, an enforceable liability regime) are not on offer, and the procedural architecture has not produced any of them in the four years since the 2021 permit withdrawal. The category is therefore best understood not as 'refusal that might be revised' but as 'refusal articulated through the language of conditions the present process is structurally unable to deliver'. The cluster overlaps materially with the position of the documented civil-society organisations (SAUMA, NCE, NAU, the Republican Party) presented in §6.2.4. The convergence is not because the community participants are taking direction from these organisations. It is because both are reading the same situation with similar evidentiary commitments.</w:t>
      </w:r>
    </w:p>
    <w:p>
      <w:pPr>
        <w:spacing w:before="280" w:after="120"/>
      </w:pPr>
      <w:r>
        <w:rPr>
          <w:b/>
          <w:color w:val="1F3864"/>
          <w:sz w:val="27"/>
        </w:rPr>
        <w:t>6.4.4  Wait-and-see</w:t>
      </w:r>
    </w:p>
    <w:p>
      <w:pPr>
        <w:spacing w:line="336" w:lineRule="auto" w:after="160"/>
        <w:jc w:val="both"/>
      </w:pPr>
      <w:r>
        <w:rPr>
          <w:i w:val="0"/>
          <w:sz w:val="23"/>
        </w:rPr>
        <w:t>The wait-and-see position is, by some margin, the most populous in the focus-group corpus. It is held by participants who refuse to commit either to refusal or to acceptance until further information becomes available. The cluster is concentrated in the middle bands of both Aminuis and Leonardville focus groups: younger participants, mid-career farmers, urban service workers, and a substantial proportion of women across both communities. On the material-dependence axis, this cluster spans a wide range; on the trust-in-the-process axis, it sits close to but mostly below the midline. The position is best understood not as a refusal to decide but as a decision to defer commitment under conditions in which the information that would allow a settled judgement is judged not to be available.</w:t>
      </w:r>
    </w:p>
    <w:p>
      <w:pPr>
        <w:spacing w:line="336" w:lineRule="auto" w:after="160"/>
        <w:jc w:val="both"/>
      </w:pPr>
      <w:r>
        <w:rPr>
          <w:i w:val="0"/>
          <w:sz w:val="23"/>
        </w:rPr>
        <w:t>The arguments characteristic of the wait-and-see position are epistemic rather than substantive. Wait-and-see participants do not say that they do not know what the project is; they say that they do not know which of the contending accounts of the project they can trust. The proponent's communications and the documented opposition's communications reach them, in roughly equal volume, through media and local networks, and neither has been validated by a source they consider procedurally neutral. The information environment §5.2 mapped is the environment in which the wait-and-see position is the rational position: where two well-resourced accounts contend, where the state speaks in two voices on the same point, and where the affected community has neither the technical capacity to adjudicate the hydrogeology nor the procedural standing to demand independent adjudication, deferral is the optimising strategy. This is consistent with Siegrist and Cvetkovich's (2000) finding that perceived hazards are most strongly affected by trust in the institutions providing the information rather than by the information's intrinsic characteristics: the wait-and-see position is a function of institutional distrust in the procedural architecture, not of ignorance about ISL.</w:t>
      </w:r>
    </w:p>
    <w:p>
      <w:pPr>
        <w:spacing w:line="336" w:lineRule="auto" w:after="160"/>
        <w:jc w:val="both"/>
      </w:pPr>
      <w:r>
        <w:rPr>
          <w:i w:val="0"/>
          <w:sz w:val="23"/>
        </w:rPr>
        <w:t>The wait-and-see cluster is analytically important because it is the most procedurally consequential group in the corpus. Were the procedural conditions of the case to change (an independent international review issuing a substantive finding, a formal transboundary consultation, a Cabinet decision based on the engagement with UNESCO and the IAEA) the wait-and-see cluster would be the cluster most responsive to that change. Conversely, if the present procedural impasse continues, the wait-and-see cluster is the cluster most likely to drift either toward principled or conditional refusal (if information from the opposition prevails) or toward materially-dependent ambivalence (if employment pressures intensify and procedural reassurance remains absent). The wait-and-see position is not the position of those who are uninvested. It is the position of those whose investment is contingent on a procedural development that has not yet occurred.</w:t>
      </w:r>
    </w:p>
    <w:p>
      <w:pPr>
        <w:spacing w:before="280" w:after="120"/>
      </w:pPr>
      <w:r>
        <w:rPr>
          <w:b/>
          <w:color w:val="1F3864"/>
          <w:sz w:val="27"/>
        </w:rPr>
        <w:t>6.4.5  Pragmatic acquiescence</w:t>
      </w:r>
    </w:p>
    <w:p>
      <w:pPr>
        <w:spacing w:line="336" w:lineRule="auto" w:after="160"/>
        <w:jc w:val="both"/>
      </w:pPr>
      <w:r>
        <w:rPr>
          <w:i w:val="0"/>
          <w:sz w:val="23"/>
        </w:rPr>
        <w:t>Pragmatic acquiescence is the position of reluctant resignation: the participant neither approves the project nor mobilises against it, but accepts that the project is likely to proceed and calculates that the appropriate strategy is to extract what benefits can be extracted while minimising downside exposure. The cluster is found across both communities but is more visible in Leonardville, particularly among middle-aged residents with established households who attend selective consultation events without active enthusiasm. On the trust axis, this cluster sits just above the midline, not because participants trust the process but because they have calibrated their expectations to what they think they can realistically influence.</w:t>
      </w:r>
    </w:p>
    <w:p>
      <w:pPr>
        <w:spacing w:line="336" w:lineRule="auto" w:after="160"/>
        <w:jc w:val="both"/>
      </w:pPr>
      <w:r>
        <w:rPr>
          <w:i w:val="0"/>
          <w:sz w:val="23"/>
        </w:rPr>
        <w:t>The pragmatic-acquiescent position is structurally distinct from approval. It is not characterised by belief in the proponent's claims, nor by satisfaction with the procedural arrangements, nor by absence of concern about contamination. It is characterised by an assessment that the political-economic alignment of the case makes refusal practically unavailing. Participants in this position frequently make the move 'they will do it anyway', a phrase that recurs in different formulations across both communities, and conclude that the appropriate response is selective participation in the consultation processes rather than principled refusal of them. Gehman, Lefsrud, and Lounsbury's (2017, pp. 295 to 301) treatment of social licence as a 'legitimacy by another name' captures something important here: pragmatic acquiescence is not legitimacy in any substantive sense, but it performs a similar function in the procedural record because it shows up at consultation events, signs attendance registers, and appears in EIA documentation as 'community engagement'. The structural cost of pragmatic acquiescence is therefore high. It supplies the procedural record with the appearance of community participation while withholding the substantive consent that participation is normally taken to indicate.</w:t>
      </w:r>
    </w:p>
    <w:p>
      <w:pPr>
        <w:spacing w:before="280" w:after="120"/>
      </w:pPr>
      <w:r>
        <w:rPr>
          <w:b/>
          <w:color w:val="1F3864"/>
          <w:sz w:val="27"/>
        </w:rPr>
        <w:t>6.4.6  Materially-dependent ambivalence</w:t>
      </w:r>
    </w:p>
    <w:p>
      <w:pPr>
        <w:spacing w:line="336" w:lineRule="auto" w:after="160"/>
        <w:jc w:val="both"/>
      </w:pPr>
      <w:r>
        <w:rPr>
          <w:i w:val="0"/>
          <w:sz w:val="23"/>
        </w:rPr>
        <w:t>The materially-dependent-ambivalent cluster occupies the lower-right region of Figure 6.1: high material dependence on the project's proceeding, low trust in the procedural channels through which the project is being advanced. The cluster is concentrated in Leonardville, particularly among young job-seekers, casual labourers, and small business operators whose income would be directly affected by the project's construction and operation phases. The cluster also includes a smaller group of Leonardville households in service and retail occupations whose livelihoods would be indirectly affected by an increase in the village's monetised circulation. The cluster's defining feature is the co-presence of fear and need within the same testimony. The formulation that gives this section of the corpus its most cited phrase, 'we are scared but we want jobs', captures the cluster's internal contradiction precisely [FG-Leonardville-2; cf. FG-Leonardville-3].</w:t>
      </w:r>
    </w:p>
    <w:p>
      <w:pPr>
        <w:spacing w:line="336" w:lineRule="auto" w:after="160"/>
        <w:jc w:val="both"/>
      </w:pPr>
      <w:r>
        <w:rPr>
          <w:i w:val="0"/>
          <w:sz w:val="23"/>
        </w:rPr>
        <w:t>The materially-dependent-ambivalent position is, on the documented record, the position most often mistaken for acceptance. The proponent's consultation materials and the Standing Committee's report cite Leonardville participation in project information events as evidence of community readiness; what the focus-group corpus shows, however, is that participation in such events is very often participation under conditions in which the alternative is non-participation in a process whose outcome is already being shaped without the community. The phrase 'why can't the mine be opened in Leonardville?' attributed to a Leonardville pensioner (Brown and Shipena, 2024) is not, when read in the focus-group context, an endorsement of the project. It is an expression of a deeper grievance about the absence of any other economic opportunity in the village. The materially-dependent ambivalence this expresses is captured in the testimony of FG-Leonardville-2 and FG-Leonardville-3, where participants who voice support for the project as a job creator simultaneously voice acute fear of water contamination, often within the same paragraph of the discussion.</w:t>
      </w:r>
    </w:p>
    <w:p>
      <w:pPr>
        <w:spacing w:line="336" w:lineRule="auto" w:after="160"/>
        <w:jc w:val="both"/>
      </w:pPr>
      <w:r>
        <w:rPr>
          <w:i w:val="0"/>
          <w:sz w:val="23"/>
        </w:rPr>
        <w:t>Analytically, the materially-dependent-ambivalent cluster is the clearest empirical confirmation of Owen and Kemp's (2017, pp. 73 to 82) account of the asymmetry of procedural capacity in extractive cases. Material need does not produce approval in this corpus. It produces a position in which approval is materially compelled while substantive trust in the process remains absent. Gunningham, Kagan, and Thornton's (2004) distinction between social licence and grudging compliance is the right one to invoke here. The Leonardville materially-dependent ambivalents are positioned at the boundary of grudging compliance, not at the boundary of social licence. The procedural record's tendency to read their participation as evidence of licence is precisely the misrecognition that Ehrnström-Fuentes (2016, pp. 444 to 446) describes as the political-ontological failure of corporate-consultation processes in mining cases. The cluster's existence is real and substantial. What its existence does not show is that the project has earned the consent of the community.</w:t>
      </w:r>
    </w:p>
    <w:p>
      <w:pPr>
        <w:spacing w:before="280" w:after="120"/>
      </w:pPr>
      <w:r>
        <w:rPr>
          <w:b/>
          <w:color w:val="1F3864"/>
          <w:sz w:val="27"/>
        </w:rPr>
        <w:t>6.4.7  Reluctant inclusion</w:t>
      </w:r>
    </w:p>
    <w:p>
      <w:pPr>
        <w:spacing w:line="336" w:lineRule="auto" w:after="160"/>
        <w:jc w:val="both"/>
      </w:pPr>
      <w:r>
        <w:rPr>
          <w:i w:val="0"/>
          <w:sz w:val="23"/>
        </w:rPr>
        <w:t>A sixth position deserves its own treatment, even though it sits in a smaller cluster than the others and is sometimes folded into pragmatic acquiescence: the position of reluctant inclusion. It is held by a small number of participants in both communities, most visibly in the Leonardville Village Council interview (KII-Council-LV), who occupy formal or semi-formal local leadership positions and who find themselves obliged to engage with the proponent in their representative capacity. They are not, in private, supporters of the project. Their public engagement, however, is read in the procedural record as endorsement. The Leonardville Village Council chairperson's speech at the Rosatom-funded school-kitchen inauguration is the documentary record's clearest illustration of the position (Brown and Shipena, 2024): the speech is delivered, the kitchen is opened, the documentary record registers community-leadership participation; the chairperson's actual position on the project is more conflicted than the documentary record represents.</w:t>
      </w:r>
    </w:p>
    <w:p>
      <w:pPr>
        <w:spacing w:line="336" w:lineRule="auto" w:after="160"/>
        <w:jc w:val="both"/>
      </w:pPr>
      <w:r>
        <w:rPr>
          <w:i w:val="0"/>
          <w:sz w:val="23"/>
        </w:rPr>
        <w:t>Reluctant inclusion is distinct from pragmatic acquiescence in that it carries a representative obligation. Pragmatic acquiescents are private actors making private calculations; the reluctant-included are public actors whose calculations are constrained by office. The constraint operates in two directions. On one hand, declining to engage with the proponent's consultation invitations would deprive the community of whatever limited procedural standing engagement offers; on the other, engaging too visibly risks being read as endorsement and being called to account by community members who hold one of the refusal positions. The reluctantly-included resolve the constraint by selective engagement: accepting some invitations, declining others, framing acceptance in language designed to preserve future deniability. The position is rational under the circumstances. What matters for the chapter's argument is that the procedural record systematically over-reads this rational selective engagement as endorsement, in ways that further weaken the procedural conditions for legitimate consent.</w:t>
      </w:r>
    </w:p>
    <w:p>
      <w:pPr>
        <w:spacing w:before="280" w:after="120"/>
      </w:pPr>
      <w:r>
        <w:rPr>
          <w:b/>
          <w:color w:val="1F3864"/>
          <w:sz w:val="27"/>
        </w:rPr>
        <w:t>6.4.8  The Aminuis-Leonardville distribution of positions</w:t>
      </w:r>
    </w:p>
    <w:p>
      <w:pPr>
        <w:spacing w:line="336" w:lineRule="auto" w:after="160"/>
        <w:jc w:val="both"/>
      </w:pPr>
      <w:r>
        <w:rPr>
          <w:i w:val="0"/>
          <w:sz w:val="23"/>
        </w:rPr>
        <w:t>The six positions are not evenly distributed across Aminuis and Leonardville. The Aminuis-Leonardville gradient mapped in §5.7 is reflected in the typology not as the holding of different positions but as the differential weighting of the same positions between the two communities. Three observations capture the distribution.</w:t>
      </w:r>
    </w:p>
    <w:p>
      <w:pPr>
        <w:spacing w:line="336" w:lineRule="auto" w:after="160"/>
        <w:jc w:val="both"/>
      </w:pPr>
      <w:r>
        <w:rPr>
          <w:i w:val="0"/>
          <w:sz w:val="23"/>
        </w:rPr>
        <w:t>First, principled refusal is concentrated in Aminuis. The structural conditions §§5.4 to 5.6 identified (pastoral livelihood whose water input cannot be substituted; place attachment anchored in ancestral land; lower direct exposure to potential project employment; further distance from the proposed mining site, but closer hydrological exposure given the south-easterly flow of the aquifer) produce a community in which the refusal of the project is the position that does the best fit to material reality. The Aminuis focus groups also contain the highest concentration of older participants in the corpus, and §5.6's place-attachment substrate is strongest in this cluster.</w:t>
      </w:r>
    </w:p>
    <w:p>
      <w:pPr>
        <w:spacing w:line="336" w:lineRule="auto" w:after="160"/>
        <w:jc w:val="both"/>
      </w:pPr>
      <w:r>
        <w:rPr>
          <w:i w:val="0"/>
          <w:sz w:val="23"/>
        </w:rPr>
        <w:t>Second, materially-dependent ambivalence is concentrated in Leonardville. The structural conditions identified in §5.7 (direct geographical proximity to the project; an unemployment rate that makes project-phase jobs disproportionately valuable; an existing urban service economy that monetises the village's circulation; a younger demographic composition than Aminuis) produce the cluster of participants for whom the project's proceeding represents a substantial change in livelihood possibility, even where its proceeding also represents a substantial change in water security. The Leonardville focus groups carry the highest concentration of working-age participants in the corpus.</w:t>
      </w:r>
    </w:p>
    <w:p>
      <w:pPr>
        <w:spacing w:line="336" w:lineRule="auto" w:after="160"/>
        <w:jc w:val="both"/>
      </w:pPr>
      <w:r>
        <w:rPr>
          <w:i w:val="0"/>
          <w:sz w:val="23"/>
        </w:rPr>
        <w:t>Third, the intermediate positions (conditional refusal, wait-and-see, pragmatic acquiescence, reluctant inclusion) are approximately evenly distributed between the two communities. This is a finding in its own right: the gradient does not run across all positions equally. It runs principally across the two end positions of the typology, and what differentiates the communities is not what intermediate positions exist within them but the size of the principled-refuser cluster relative to the materially-dependent-ambivalent cluster. Aminuis has both; the principled refusers dominate. Leonardville has both; the materially-dependent ambivalents dominate. The intermediate positions in both communities provide the field within which any future procedural development would have to operate.</w:t>
      </w:r>
    </w:p>
    <w:p>
      <w:pPr>
        <w:spacing w:before="280" w:after="120"/>
      </w:pPr>
      <w:r>
        <w:rPr>
          <w:b/>
          <w:color w:val="1F3864"/>
          <w:sz w:val="27"/>
        </w:rPr>
        <w:t>6.4.9  What the typology shows, and what it does not show</w:t>
      </w:r>
    </w:p>
    <w:p>
      <w:pPr>
        <w:spacing w:line="336" w:lineRule="auto" w:after="160"/>
        <w:jc w:val="both"/>
      </w:pPr>
      <w:r>
        <w:rPr>
          <w:i w:val="0"/>
          <w:sz w:val="23"/>
        </w:rPr>
        <w:t>The typology shows three things directly. First, the affected community's positions are sufficiently differentiated that they cannot be reduced to either uniform refusal or uniform acceptance. The procedural record's repeated invocation of 'the community' as if it were a unitary actor mis-describes a field that is, in fact, structured by the typology above. Second, the centre of gravity of the affected community's position is below the trust-in-the-process midline of Figure 6.1: five of the six populated positions sit in the lower half of the plane, and the sixth sits only just above it. Whatever else the community is or is not, it is a community in which the procedural channels currently in use have not earned the trust that legitimate consent would require. Third, the upper half of the plane (the region where approval and identification would, in Boutilier's 2014 terms, be located) is empty of community-level positions. The chapter's synthesis (§6.7) returns to what this emptiness means for the social-licence question.</w:t>
      </w:r>
    </w:p>
    <w:p>
      <w:pPr>
        <w:spacing w:line="336" w:lineRule="auto" w:after="160"/>
        <w:jc w:val="both"/>
      </w:pPr>
      <w:r>
        <w:rPr>
          <w:i w:val="0"/>
          <w:sz w:val="23"/>
        </w:rPr>
        <w:t>The typology does not show three further things, and the limits of what it shows are part of what the chapter has to say. First, it does not show the positions of organisations within the affected community. The Aminuis Village Council, the Aminuis Traditional Authority, the Leonardville Village Council, and the local farmers' associations are institutional actors whose documented positions are taken up in §6.6, not here. Second, it does not show how positions move over time. The typology is a snapshot from the 2024 to 2025 fieldwork window, supplemented by the 2020 to 2026 documentary record; it does not address the question of how positions might shift if the procedural conditions of the case change. Third, it does not show the absent affirmative voice. The grey marker in the upper-right of Figure 6.1 marks the location of an organised grassroots affirmative position that the corpus does not contain. The presence of the marker without an occupant is intentional, and the analytical weight of that absence is carried in §6.6, where it sits alongside the other structural absences identified in the documented record.</w:t>
      </w:r>
    </w:p>
    <w:p>
      <w:pPr>
        <w:spacing w:before="360" w:after="120"/>
      </w:pPr>
      <w:r>
        <w:rPr>
          <w:b/>
          <w:color w:val="1F3864"/>
          <w:sz w:val="32"/>
        </w:rPr>
        <w:t>6.5  Individual informed-observer accounts: interpretation of the field by professionals positioned within it</w:t>
      </w:r>
    </w:p>
    <w:p>
      <w:pPr>
        <w:spacing w:line="336" w:lineRule="auto" w:after="160"/>
        <w:jc w:val="both"/>
      </w:pPr>
      <w:r>
        <w:rPr>
          <w:i w:val="0"/>
          <w:sz w:val="23"/>
        </w:rPr>
        <w:t>The seventeen-source qualitative corpus contains ten key informant interviews with named individuals professionally positioned within the field: hydrogeologists and other scientists, environmental compliance practitioners, lawyers, intergovernmental programme officers, ministerial officials, an industry-association director, and a community-level civic activist. These interviews are the richest single source of close-grained interpretation of the case in the corpus. They are also, on the methodological discipline this chapter has adopted, the source most carefully bounded. Individual informed-observer accounts are valuable as interpretation of the field, but they cannot be extended to organisational position-taking. A lawyer at the Legal Assistance Centre describing the procedural inadequacies of the EIA process is not the LAC's institutional voice. A practitioner at the Environmental Compliance Consultancy describing her work on the consultation process is not the ECC's institutional voice. An industry-association director describing the international context of ISL is not the association's substantive position on the case. This section reports what these informants contribute to the analysis under that discipline.</w:t>
      </w:r>
    </w:p>
    <w:p>
      <w:pPr>
        <w:spacing w:line="336" w:lineRule="auto" w:after="160"/>
        <w:jc w:val="both"/>
      </w:pPr>
      <w:r>
        <w:rPr>
          <w:i w:val="0"/>
          <w:sz w:val="23"/>
        </w:rPr>
        <w:t>The section is organised around the analytical work each cluster of informants does, rather than around the institutional affiliations of the informants themselves. Four clusters are presented: technical-scientific interpretation; legal and procedural-justice interpretation; environmental-practitioner interpretation; and community-positioned activist and industry-adjacent interpretation. In each cluster, the section asks (i) what the informant contributes that is not visible from the documented record alone, (ii) where the informant's account converges with documented organisational positions, and (iii) where it diverges or adds a dimension the documentary record does not carry.</w:t>
      </w:r>
    </w:p>
    <w:p>
      <w:pPr>
        <w:spacing w:before="280" w:after="120"/>
      </w:pPr>
      <w:r>
        <w:rPr>
          <w:b/>
          <w:color w:val="1F3864"/>
          <w:sz w:val="27"/>
        </w:rPr>
        <w:t>6.5.1  Technical-scientific interpretation: hydrogeology, intergovernmental programme oversight, and the politics of data</w:t>
      </w:r>
    </w:p>
    <w:p>
      <w:pPr>
        <w:spacing w:line="336" w:lineRule="auto" w:after="160"/>
        <w:jc w:val="both"/>
      </w:pPr>
      <w:r>
        <w:rPr>
          <w:i w:val="0"/>
          <w:sz w:val="23"/>
        </w:rPr>
        <w:t>The technical-scientific cluster in the key-informant corpus includes the hydrogeological informant John Pallett [KII-Pallett], whose later co-authored institutional NEWS publication on EIA process integrity (Pallett and Iipinge, 2024) is treated as a NEWS organisational position in §6.2.4; the intergovernmental programme-officer informant [KII-UNESCO]; and the principled-refuser scientist [KII-Klein]. Their accounts converge on three substantive points that the documentary record also carries (the irreversibility of contamination at human timescales, the inadequacy of the existing baseline data, and the transboundary character of the aquifer) and they add three further points that the documentary record carries only obliquely.</w:t>
      </w:r>
    </w:p>
    <w:p>
      <w:pPr>
        <w:spacing w:line="336" w:lineRule="auto" w:after="160"/>
        <w:jc w:val="both"/>
      </w:pPr>
      <w:r>
        <w:rPr>
          <w:i w:val="0"/>
          <w:sz w:val="23"/>
        </w:rPr>
        <w:t>The first additional point is the politics of data. Across all three technical-scientific informants, what comes through consistently is not that the technical evidence is unavailable but that the technical evidence has been treated, in the procedural record, as politically contestable in a way that professional scientific practice does not recognise as appropriate. As [KII-Klein] put the point, 'there is no neutral in this set-up', a formulation that captures the structural consequence of the state's split position (§6.3) at the level of scientific practice. Hydrogeological measurements that, in another regulatory architecture, would be treated as professional outputs to be acted upon are here treated as political claims to be debated. This is a feature of the procedural architecture, not of the science. But it shapes how scientific informants describe their relationship to the case. The Bezuidenhout ECC interview and the van Wyk LAC interview converge with this point from different angles, and the Roy Miller and Tjipangandjara documentary positions (§6.2.5) make the same point in the institutional register.</w:t>
      </w:r>
    </w:p>
    <w:p>
      <w:pPr>
        <w:spacing w:line="336" w:lineRule="auto" w:after="160"/>
        <w:jc w:val="both"/>
      </w:pPr>
      <w:r>
        <w:rPr>
          <w:i w:val="0"/>
          <w:sz w:val="23"/>
        </w:rPr>
        <w:t>The second additional point is the missing monitoring infrastructure. The documentary record establishes the position of MAWLR (the 2021 permit-withdrawal letter) and the position of the Standing Committee (the 2025 report); the technical-scientific informants describe what is in between, the absence of a regulator-controlled, regulator-funded, independent monitoring infrastructure that would allow either limb of the state to act on shared data. Single-laboratory monitoring concerns identified in §5.3 are described by the technical-scientific informants as a structural condition of the regulatory architecture rather than as a one-off lapse. The Tjipangandjara 'football player cannot be a referee' formulation (§6.2.5) is the institutional-register version of the same point. What the informants add is the operational detail: which laboratories, with what accreditation, under what chain-of-custody arrangements, and with what reporting access for which institution.</w:t>
      </w:r>
    </w:p>
    <w:p>
      <w:pPr>
        <w:spacing w:line="336" w:lineRule="auto" w:after="160"/>
        <w:jc w:val="both"/>
      </w:pPr>
      <w:r>
        <w:rPr>
          <w:i w:val="0"/>
          <w:sz w:val="23"/>
        </w:rPr>
        <w:t>The third additional point is the temporal mismatch between hydrogeological data collection and procedural decision-making. Aquifer-scale measurements require multi-year monitoring under controlled extraction conditions to produce findings the scientific community would consider robust. Procedural decisions operate on political timescales of months to a few years at most. The technical-scientific informants describe a situation in which the data that could authoritatively settle the question of ISL's impact on the STAS cannot be produced within the timescale on which the procedural decisions are being taken. This is not an argument against monitoring. It is an argument that the procedural architecture is structured to require a kind of evidence it cannot, on its own timescale, obtain. The point converges with UNESCO's documented finding that 'there is inadequate baseline data and information available for a comprehensive assessment' (UNESCO, 2024), but it is more structurally framed: the inadequacy is not contingent but designed in.</w:t>
      </w:r>
    </w:p>
    <w:p>
      <w:pPr>
        <w:spacing w:before="280" w:after="120"/>
      </w:pPr>
      <w:r>
        <w:rPr>
          <w:b/>
          <w:color w:val="1F3864"/>
          <w:sz w:val="27"/>
        </w:rPr>
        <w:t>6.5.2  Legal and procedural-justice interpretation: the EIA process, Section 54 appeals, and consent in the Namibian regulatory framework</w:t>
      </w:r>
    </w:p>
    <w:p>
      <w:pPr>
        <w:spacing w:line="336" w:lineRule="auto" w:after="160"/>
        <w:jc w:val="both"/>
      </w:pPr>
      <w:r>
        <w:rPr>
          <w:i w:val="0"/>
          <w:sz w:val="23"/>
        </w:rPr>
        <w:t>The legal and procedural-justice cluster is anchored in the Legal Assistance Centre informant [KII-vanWyk], a senior LAC lawyer with extensive experience of environmental and communal-land litigation in Namibia. The account is treated, on the methodological discipline of this chapter, as the informed interpretation of an experienced practitioner rather than as the LAC's institutional position. With that frame in view, three contributions stand out.</w:t>
      </w:r>
    </w:p>
    <w:p>
      <w:pPr>
        <w:spacing w:line="336" w:lineRule="auto" w:after="160"/>
        <w:jc w:val="both"/>
      </w:pPr>
      <w:r>
        <w:rPr>
          <w:i w:val="0"/>
          <w:sz w:val="23"/>
        </w:rPr>
        <w:t>The first is the characterisation of the EIA process as procedurally inadequate by design. The LAC informant describes a regulatory architecture in which the EIA's consultation minimum is met by the proponent's commissioned consultants, in which the Environmental Management Act 7 of 2007 (Republic of Namibia, 2007) sets a procedural threshold that is low relative to international best practice, and in which the remedies available to affected communities are concentrated in the Section 54 appeal, an appeal that goes to the same minister whose office issued the underlying decision. The structural asymmetry described converges with Owen and Kemp's (2017) asymmetry critique, with the NCE's documented position on international-best-practice review (§6.2.4), and with the NEWS institutional finding that the EIA architecture systemically underperforms in Namibia (Pallett and Iipinge, 2024). What the informant adds is the institutional-detail account of why the Namibian framework, even when properly applied, does not produce the conditions for legitimate consent that the FPIC doctrine (Whyte, 2011; Schlosberg, 2007, pp. 14 to 17) would require.</w:t>
      </w:r>
    </w:p>
    <w:p>
      <w:pPr>
        <w:spacing w:line="336" w:lineRule="auto" w:after="160"/>
        <w:jc w:val="both"/>
      </w:pPr>
      <w:r>
        <w:rPr>
          <w:i w:val="0"/>
          <w:sz w:val="23"/>
        </w:rPr>
        <w:t>The second contribution is the account of class-action and collective-remedy unavailability. Namibian law does not, in the informant's account, provide an effective class-action mechanism through which affected communities could bundle their claims and pursue them collectively. Individual remedies through Section 54 are available in principle but operationally prohibitive for pastoralist households. Ombudsman-style interventions exist but lack enforcement powers. The point converges with the SAUMA documented position that the case may ultimately have to be pursued through national-catastrophe-level litigation (§6.2.4), a formulation that, in the LAC informant's reading, reflects the absence of intermediate remedies more than it reflects an appetite for catastrophic litigation.</w:t>
      </w:r>
    </w:p>
    <w:p>
      <w:pPr>
        <w:spacing w:line="336" w:lineRule="auto" w:after="160"/>
        <w:jc w:val="both"/>
      </w:pPr>
      <w:r>
        <w:rPr>
          <w:i w:val="0"/>
          <w:sz w:val="23"/>
        </w:rPr>
        <w:t>The third contribution is the characterisation of consent under the current procedural arrangements as structurally unavailable. The LAC informant describes a situation in which the elements FPIC would require (freely given, prior, informed consent) are individually undermined by features of the procedural architecture: 'free' is undermined by the political economy of poverty (§5.4); 'prior' is undermined by the exclusive prospecting licence's pre-emption of consultation; 'informed' is undermined by the information environment (§5.2) and the politics of data described above; and 'consent' is undermined by the absence of any mechanism by which the affected community could either grant or refuse consent with the procedural standing necessary for the grant or refusal to bind. This is the most structurally pessimistic account in the corpus, and it is offered in a register that is interpretive rather than advocacy-driven. It describes the architecture as the informant has found it rather than as the informant would wish it to be.</w:t>
      </w:r>
    </w:p>
    <w:p>
      <w:pPr>
        <w:spacing w:before="280" w:after="120"/>
      </w:pPr>
      <w:r>
        <w:rPr>
          <w:b/>
          <w:color w:val="1F3864"/>
          <w:sz w:val="27"/>
        </w:rPr>
        <w:t>6.5.3  Environmental-practitioner interpretation: the EIA consultation process from inside</w:t>
      </w:r>
    </w:p>
    <w:p>
      <w:pPr>
        <w:spacing w:line="336" w:lineRule="auto" w:after="160"/>
        <w:jc w:val="both"/>
      </w:pPr>
      <w:r>
        <w:rPr>
          <w:i w:val="0"/>
          <w:sz w:val="23"/>
        </w:rPr>
        <w:t>The environmental-practitioner cluster is anchored in the Environmental Compliance Consultancy informant [KII-Bezuidenhout], a practitioner who participated in the early consultation phases of the Headspring EIA. The account is treated, on the same methodological discipline, as the informed observation of a practitioner positioned within the EIA process rather than as the ECC's institutional position. Three contributions stand out.</w:t>
      </w:r>
    </w:p>
    <w:p>
      <w:pPr>
        <w:spacing w:line="336" w:lineRule="auto" w:after="160"/>
        <w:jc w:val="both"/>
      </w:pPr>
      <w:r>
        <w:rPr>
          <w:i w:val="0"/>
          <w:sz w:val="23"/>
        </w:rPr>
        <w:t>The first is the insider account of how the EIA consultation minimum was met. The informant describes consultation events that satisfied the procedural requirement of the EMA 2007 (advertised in the prescribed manner, conducted in the prescribed venues, with the prescribed records) but that did not, in her account, produce substantive engagement with the affected community. The gap between procedural compliance and substantive engagement is described in the informant's own words as 'consultation that meets the rules but doesn't meet the people' [paraphrased; KII-Bezuidenhout]. The point converges with the NCE's and SAUMA's documented positions (§6.2.4) and with the NEWS empirical evidence on EIA process underperformance (Pallett and Iipinge, 2024) that the chapter has already introduced, but adds the insider's detail of why this gap is structural: the EIA process is designed to register objection, not to negotiate consent; and the proponent's commissioned consultants are paid to complete a procedural requirement, not to produce a substantive agreement.</w:t>
      </w:r>
    </w:p>
    <w:p>
      <w:pPr>
        <w:spacing w:line="336" w:lineRule="auto" w:after="160"/>
        <w:jc w:val="both"/>
      </w:pPr>
      <w:r>
        <w:rPr>
          <w:i w:val="0"/>
          <w:sz w:val="23"/>
        </w:rPr>
        <w:t>The second contribution is the account of selective community leader invitations to consultation events. The informant describes a recurrent pattern in which traditional leaders and civic figures known to be supportive of the project, or perceived to be so, were invited to consultation events at higher frequency than leaders known to hold the principled-refuser position. This account converges with Republican Party and SAUMA documented positions but in the institutional-detail register that those documented positions do not carry. The structural consequence (that the consultation record systematically over-represents leadership voices aligned with the project) feeds directly into the reluctant-inclusion position identified in §6.4.7.</w:t>
      </w:r>
    </w:p>
    <w:p>
      <w:pPr>
        <w:spacing w:line="336" w:lineRule="auto" w:after="160"/>
        <w:jc w:val="both"/>
      </w:pPr>
      <w:r>
        <w:rPr>
          <w:i w:val="0"/>
          <w:sz w:val="23"/>
        </w:rPr>
        <w:t>The third contribution is the characterisation of community-engagement reporting as procedurally over-readable. Engagement events generate attendance registers, photographs, signed minutes, and consultation records that, in subsequent documentation, are read as evidence of community participation. The informant's account is that these documents are read literally rather than substantively: an attendance register shows that twenty-three people attended a meeting; it does not show that twenty-three people endorsed the project, but the subsequent documentary record systematically treats attendance as endorsement. This is the same misrecognition Ehrnström-Fuentes (2016, pp. 444 to 446) describes at the level of political ontology. The informant adds the operational detail of how the misrecognition is produced procedurally.</w:t>
      </w:r>
    </w:p>
    <w:p>
      <w:pPr>
        <w:spacing w:before="280" w:after="120"/>
      </w:pPr>
      <w:r>
        <w:rPr>
          <w:b/>
          <w:color w:val="1F3864"/>
          <w:sz w:val="27"/>
        </w:rPr>
        <w:t>6.5.4  Community-positioned and industry-adjacent interpretation</w:t>
      </w:r>
    </w:p>
    <w:p>
      <w:pPr>
        <w:spacing w:line="336" w:lineRule="auto" w:after="160"/>
        <w:jc w:val="both"/>
      </w:pPr>
      <w:r>
        <w:rPr>
          <w:i w:val="0"/>
          <w:sz w:val="23"/>
        </w:rPr>
        <w:t>The fourth cluster includes the community-positioned activist informant [KII-Koujo], who is an Aminuis traditional leader and environmental activist, and Dr Gabi Schneider, Executive Director of the Namibian Uranium Institute (NUI), the research-and-information arm of the Namibian Uranium Association [KII-Schneider]. The Schneider interview was given in her professional capacity as NUI Executive Director, and her account carries particular interpretive weight in the industry-adjacent space; on the methodological discipline of this chapter, however, her account is treated as individual informed observation, and the institutional position of the NUI / NUA remains the documented one in §6.2.1. The two informants occupy ostensibly opposed positions in the field. The first speaks from the principled-refuser substrate at the community level, the second from a position structurally aligned with the proponent. They share one analytical feature: both are positioned to interpret the field while not speaking institutionally for any of the bodies most directly contesting the project. Reading the two accounts in parallel is analytically productive.</w:t>
      </w:r>
    </w:p>
    <w:p>
      <w:pPr>
        <w:spacing w:line="336" w:lineRule="auto" w:after="160"/>
        <w:jc w:val="both"/>
      </w:pPr>
      <w:r>
        <w:rPr>
          <w:i w:val="0"/>
          <w:sz w:val="23"/>
        </w:rPr>
        <w:t>The community-positioned activist informant contributes a narrative of how the principled-refuser position is constructed and sustained among Aminuis pastoralists. The account is consistent with the focus-group corpus presented in §6.4.2 but adds the dimension that the community-positioned activist has been engaged with the case for longer than most focus-group participants and has been a vehicle for circulating documentary material (particularly the 2021 MAWLR permit-withdrawal letter and the NCE op-ed) within the affected community. The informant's account therefore explains, in part, why the principled refusers in the focus-group corpus are often better-informed than the materially-dependent ambivalents: the circulation infrastructure for opposition information is stronger in Aminuis than the corresponding infrastructure for proponent information, and the asymmetry of who reaches whom with which documentary materials is a feature of the case the documentary record does not directly carry.</w:t>
      </w:r>
    </w:p>
    <w:p>
      <w:pPr>
        <w:spacing w:line="336" w:lineRule="auto" w:after="160"/>
        <w:jc w:val="both"/>
      </w:pPr>
      <w:r>
        <w:rPr>
          <w:i w:val="0"/>
          <w:sz w:val="23"/>
        </w:rPr>
        <w:t>Dr Schneider's interview contributes the inverse: a narrative of how the proponent's international-best-practice frame is constructed and sustained in the Namibian uranium sector's professional discourse. Her account is consistent with the Namibian Uranium Association's documented position (§6.2.1) but adds the dimension that the industry-adjacent professional field draws much of its frame from the international ISL industry's published materials, which present ISL as established practice in jurisdictions where the regulatory architecture is favourable. Schneider's account is more cautious about the case specifically than the documented NUA position implies, and the divergence is itself informative: the industry-adjacent professional field is not monolithic, and her individual interpretation of the case carries qualifications that the institutional NUA position does not. This is a point worth flagging for §6.7's synthesis: the industry-adjacent field is more internally differentiated than the documented record reveals.</w:t>
      </w:r>
    </w:p>
    <w:p>
      <w:pPr>
        <w:spacing w:before="280" w:after="120"/>
      </w:pPr>
      <w:r>
        <w:rPr>
          <w:b/>
          <w:color w:val="1F3864"/>
          <w:sz w:val="27"/>
        </w:rPr>
        <w:t>6.5.5  Convergence with documentary positions, divergence, and limits</w:t>
      </w:r>
    </w:p>
    <w:p>
      <w:pPr>
        <w:spacing w:line="336" w:lineRule="auto" w:after="160"/>
        <w:jc w:val="both"/>
      </w:pPr>
      <w:r>
        <w:rPr>
          <w:i w:val="0"/>
          <w:sz w:val="23"/>
        </w:rPr>
        <w:t>Three observations close the section. First, on convergence: the informant accounts are, with one or two exceptions, interpretively convergent with the documentary record of the opposition (NCE, SAUMA, NAU, ORASECOM, IGRAC, Miller, Tjipangandjara, MAWLR). This is not because the informants take direction from these organisations. It is because both are reading the same case with similar evidentiary commitments. The convergence is analytically significant because it shows that the substantive case against ISL on the STAS is produced by independent professional judgements across scientific, legal, environmental-practitioner, and community-positioned positions, not by an organised political mobilisation that has determined the position in advance.</w:t>
      </w:r>
    </w:p>
    <w:p>
      <w:pPr>
        <w:spacing w:line="336" w:lineRule="auto" w:after="160"/>
        <w:jc w:val="both"/>
      </w:pPr>
      <w:r>
        <w:rPr>
          <w:i w:val="0"/>
          <w:sz w:val="23"/>
        </w:rPr>
        <w:t>Second, on divergence: where the informant accounts diverge from the documentary record, the divergences are mostly in the direction of adding institutional detail the documentary record does not carry, the operational detail of how monitoring infrastructure is configured, how class-action remedy is foreclosed, how consultation events are run, how documentary materials are circulated within the affected community, how industry-adjacent professional discourse is internally differentiated. These are dimensions a study of social licence cannot do without and which a study confined to the documentary record alone would miss.</w:t>
      </w:r>
    </w:p>
    <w:p>
      <w:pPr>
        <w:spacing w:line="336" w:lineRule="auto" w:after="160"/>
        <w:jc w:val="both"/>
      </w:pPr>
      <w:r>
        <w:rPr>
          <w:i w:val="0"/>
          <w:sz w:val="23"/>
        </w:rPr>
        <w:t>Third, on limits: the informant accounts cannot be extended to the organisations the informants happen to work within. The LAC informant is not the LAC; the ECC informant is not the ECC; the industry-adjacent informant is not the NUA. These organisations' institutional positions, if and when they issue them, would be recorded in §6.2 and in Sheet 6 of the matrix. That none of these organisations has issued such an institutional position on the case specifically is a fact about the documentary record, and the analytical weight of that fact is taken up in §6.6.</w:t>
      </w:r>
    </w:p>
    <w:p>
      <w:pPr>
        <w:spacing w:before="360" w:after="120"/>
      </w:pPr>
      <w:r>
        <w:rPr>
          <w:b/>
          <w:color w:val="1F3864"/>
          <w:sz w:val="32"/>
        </w:rPr>
        <w:t>6.6  Structural absences: what is not in the documented record, and what those silences reveal</w:t>
      </w:r>
    </w:p>
    <w:p>
      <w:pPr>
        <w:spacing w:line="336" w:lineRule="auto" w:after="160"/>
        <w:jc w:val="both"/>
      </w:pPr>
      <w:r>
        <w:rPr>
          <w:i w:val="0"/>
          <w:sz w:val="23"/>
        </w:rPr>
        <w:t>Section 6.4 left one position open. The grey marker in the upper-right of Figure 6.1 indicates the location of an organised affirmative grassroots voice, a community-level position that would, on Boutilier's (2014) terms, occupy the 'approval' or 'identification' levels of the social-licence pyramid, and the marker is placed there without an occupant. Section 6.2 also left a series of expected positions unaddressed. SAUMA's documented position is recorded; the Namibia Chamber of Environment's documented position is recorded; ORASECOM's documented position is recorded; the MAWLR, Standing Committee, and Cabinet positions are recorded. The institutional positions of a further set of organisations whose stance one might expect to find in the open documentary record cannot, on the structured 2020 to 2026 search, be located. The present section collects these absences, distinguishes them analytically, and asks what their pattern reveals about the architecture of the case.</w:t>
      </w:r>
    </w:p>
    <w:p>
      <w:pPr>
        <w:spacing w:line="336" w:lineRule="auto" w:after="160"/>
        <w:jc w:val="both"/>
      </w:pPr>
      <w:r>
        <w:rPr>
          <w:i w:val="0"/>
          <w:sz w:val="23"/>
        </w:rPr>
        <w:t>The discipline that bounded the documented-positions section applies in reverse here. To claim that a position is absent one must show that one has looked for it in the right places and not found it. Absence is a negative finding that requires positive evidence about the scope of the search. The structured open media search this chapter draws on, covering 2020 to 2026 across Namibian general media, specialist mining and nuclear-industry publications, civil-society and intergovernmental sources, supplemented by direct fetching of the four most analytically important sources in full (Brown and Shipena, 2024; Carnie, 2026; Namibian Chamber of Environment, 2025; UNESCO, 2024), is the basis on which the absences below are claimed. Where an organisation is recorded as absent from the documented record, this means that no clear, attributable, institutional-capacity statement on the Headspring project has been located through this search. It does not mean that the organisation has no internal position, that the absence is permanent, or that the absence cannot be explained by procedural circumstance.</w:t>
      </w:r>
    </w:p>
    <w:p>
      <w:pPr>
        <w:spacing w:before="280" w:after="120"/>
      </w:pPr>
      <w:r>
        <w:rPr>
          <w:b/>
          <w:color w:val="1F3864"/>
          <w:sz w:val="27"/>
        </w:rPr>
        <w:t>6.6.1  The governing-party absence</w:t>
      </w:r>
    </w:p>
    <w:p>
      <w:pPr>
        <w:spacing w:line="336" w:lineRule="auto" w:after="160"/>
        <w:jc w:val="both"/>
      </w:pPr>
      <w:r>
        <w:rPr>
          <w:i w:val="0"/>
          <w:sz w:val="23"/>
        </w:rPr>
        <w:t>The first and most consequential absence in the documented record is the position of SWAPO as governing party. Across the 2020 to 2026 period, no Headspring-specific party-level position has been located through the structured search. President Netumbo Nandi-Ndaitwah, who assumed office in March 2025, has been reported as not having commented on the dispute (Brown and Shipena, 2024). The party's organs (the Politburo, the Central Committee, the parliamentary caucus) have not issued a documented Headspring-specific position; the SWAPO members of the Parliamentary Standing Committee on Natural Resources have operated through the Committee's institutional voice rather than through a party-distinct one. The party's manifesto position on uranium mining is generic ('responsible exploitation of mineral resources in the national interest') and has not been particularised to the case.</w:t>
      </w:r>
    </w:p>
    <w:p>
      <w:pPr>
        <w:spacing w:line="336" w:lineRule="auto" w:after="160"/>
        <w:jc w:val="both"/>
      </w:pPr>
      <w:r>
        <w:rPr>
          <w:i w:val="0"/>
          <w:sz w:val="23"/>
        </w:rPr>
        <w:t>The analytical weight of this absence is substantial. SWAPO has been continuously in government since independence and is the single most consequential political actor in the case. A documented party position would, if available, settle substantial procedural ambiguity. It would either commit the governing party to one limb of the state's split (§6.3) or explicitly endorse the executive's 'decision based on science' delay strategy as the party's preferred course. That no such position has been issued is itself a finding. Three readings of the absence are possible. The first is a strategic-ambiguity reading: the party benefits from not committing because both limbs of the split are constituencies the party is currently carrying. The second is a deference reading: the party is deferring to the executive's process commitment and is constrained by the convention that elected office-holders speak for the executive rather than for the party on matters of active executive process. The third is an internal-disagreement reading: the party is itself internally split on the case and cannot at present produce a unified party position. The three readings are not mutually exclusive, and the documentary record does not, on its own, allow adjudication among them. What the documentary record does show is that the absence has been stable across the change of government in 2024 to 2025, which weakens the deference reading: a new presidency would normally be the moment at which a previously deferred party position is articulated. The persistence of the absence under the new executive suggests that strategic-ambiguity and internal-disagreement readings carry more weight than the deference reading.</w:t>
      </w:r>
    </w:p>
    <w:p>
      <w:pPr>
        <w:spacing w:before="280" w:after="120"/>
      </w:pPr>
      <w:r>
        <w:rPr>
          <w:b/>
          <w:color w:val="1F3864"/>
          <w:sz w:val="27"/>
        </w:rPr>
        <w:t>6.6.2  The downstream-state absences</w:t>
      </w:r>
    </w:p>
    <w:p>
      <w:pPr>
        <w:spacing w:line="336" w:lineRule="auto" w:after="160"/>
        <w:jc w:val="both"/>
      </w:pPr>
      <w:r>
        <w:rPr>
          <w:i w:val="0"/>
          <w:sz w:val="23"/>
        </w:rPr>
        <w:t>The Stampriet Transboundary Aquifer System extends from Namibia into Botswana and into South Africa's Northern Cape. International law on transboundary groundwater (Eckstein, 2017, pp. 132 to 148) and the SADC Revised Protocol on Shared Watercourses both impose obligations of consultation, notification, and reasonable use on states sharing such resources. ORASECOM (§6.2.5) has issued an intergovernmental position. Neither the Botswana government nor the South African Department of Water and Sanitation has issued a documented national position on the Headspring project that the structured search has located. Daily Maverick (Carnie, 2026) records explicitly that 'the SA Department of Water and Sanitation did not respond to our queries'.</w:t>
      </w:r>
    </w:p>
    <w:p>
      <w:pPr>
        <w:spacing w:line="336" w:lineRule="auto" w:after="160"/>
        <w:jc w:val="both"/>
      </w:pPr>
      <w:r>
        <w:rPr>
          <w:i w:val="0"/>
          <w:sz w:val="23"/>
        </w:rPr>
        <w:t>Two readings of these absences are worth distinguishing. The first is a diplomatic-channel reading: bilateral engagement may be occurring through diplomatic channels that are not publicly documented; the absence in the open record may therefore reflect where the conversation is being held rather than that it is not being held. The second is a procedural-restraint reading: downstream states may be deferring formal position-taking until the Namibian government has itself reached a substantive decision, on the principle that publicly opposing a neighbour's developmental project before that neighbour has decided is diplomatically costly. Both readings are plausible, and the two are not mutually exclusive. What both readings have in common is that the downstream-state absence in the open record does not reflect indifference. It reflects either non-public engagement or strategic deferral. For the social-licence question, however, the practical consequence is the same: the affected community and the documented opposition cannot draw on the downstream states as procedural allies because no documented downstream-state position is available to be drawn on. The absence of the downstream-state voice is therefore not analytically neutral. It is a structural feature of the procedural conditions under which legitimacy in this case would have to be produced.</w:t>
      </w:r>
    </w:p>
    <w:p>
      <w:pPr>
        <w:spacing w:before="280" w:after="120"/>
      </w:pPr>
      <w:r>
        <w:rPr>
          <w:b/>
          <w:color w:val="1F3864"/>
          <w:sz w:val="27"/>
        </w:rPr>
        <w:t>6.6.3  Local-institutional absences in the affected communities</w:t>
      </w:r>
    </w:p>
    <w:p>
      <w:pPr>
        <w:spacing w:line="336" w:lineRule="auto" w:after="160"/>
        <w:jc w:val="both"/>
      </w:pPr>
      <w:r>
        <w:rPr>
          <w:i w:val="0"/>
          <w:sz w:val="23"/>
        </w:rPr>
        <w:t>Within the affected communities themselves, four local institutions whose documented positions would carry significant weight in any social-licence assessment are absent from the open documentary record. These are: the Aminuis Traditional Authority (and the several authorities within the Aminuis area to which Kumatuu Uandara's account in The Namibian (2024d) refers); the Aminuis Village Council; the Leonardville Village Council (in its formal institutional capacity, as distinct from the chairperson's individual statements documented in §6.4.7); and the Hardap and Omaheke Regional Councils as institutions. No formal resolution, position paper, court filing, or signed institutional statement from any of these bodies on the Headspring project has been located through the structured search.</w:t>
      </w:r>
    </w:p>
    <w:p>
      <w:pPr>
        <w:spacing w:line="336" w:lineRule="auto" w:after="160"/>
        <w:jc w:val="both"/>
      </w:pPr>
      <w:r>
        <w:rPr>
          <w:i w:val="0"/>
          <w:sz w:val="23"/>
        </w:rPr>
        <w:t>These absences are not symmetric in their causes. The Aminuis Traditional Authority absence reflects the fragmentation Uandara documents in The Namibian (2024d): five or six traditional authorities within the Aminuis area, several of which hold the principled-refuser position but none of which has, on the open record, issued a single consolidated institutional statement. Producing such a statement would require the coordination across authorities that the documented record does not show occurring. The Aminuis and Leonardville Village Council absences reflect the structural position of village councils within the Namibian local-government architecture: they have limited statutory competence over mineral-rights matters, which lie within the national government's authority, and the Council Chambers are not, in practice, the institutional venues at which positions on national-government decisions are formally registered. The Regional Council absences reflect the same structural limitation. The Omaheke Governor's individual statements (§6.2.2) substitute for the Council's institutional voice in the open record without carrying its institutional standing.</w:t>
      </w:r>
    </w:p>
    <w:p>
      <w:pPr>
        <w:spacing w:line="336" w:lineRule="auto" w:after="160"/>
        <w:jc w:val="both"/>
      </w:pPr>
      <w:r>
        <w:rPr>
          <w:i w:val="0"/>
          <w:sz w:val="23"/>
        </w:rPr>
        <w:t>What all four absences have in common, however, is that they leave the affected communities without a local-institutional voice through which their collective position could be formally registered. The NEWS institutional finding that the formal EIA consultation architecture is itself documented to be underperforming (Pallett and Iipinge, 2024) compounds this absence: the procedural venue that might otherwise have served as the substitute mechanism for community position-registration is itself, by NEWS's own institutional account, not fit for that purpose. The focus-group corpus (§6.4) captures the community-level positions analytically, but the focus group is a research methodology, not a procedural mechanism for registering a position in the documentary record on which a decision will be taken. The structural consequence is that the community's procedural standing in the case is mediated by external organisations: SAUMA (which is formally a farmers' association), NCE (which speaks from an environmental rather than a community standpoint), the LAC (which would speak for the community in litigation but has not in the documented record), the Republican Party (which speaks from a political-opposition standpoint), the documented opposition's intergovernmental allies (ORASECOM, IGRAC). The community speaks in this field principally through external proxies, because the local institutions through which it would otherwise speak are either fragmented, statutorily under-equipped for the task, or both.</w:t>
      </w:r>
    </w:p>
    <w:p>
      <w:pPr>
        <w:spacing w:before="280" w:after="120"/>
      </w:pPr>
      <w:r>
        <w:rPr>
          <w:b/>
          <w:color w:val="1F3864"/>
          <w:sz w:val="27"/>
        </w:rPr>
        <w:t>6.6.4  Opposition-party and organised-labour absences</w:t>
      </w:r>
    </w:p>
    <w:p>
      <w:pPr>
        <w:spacing w:line="336" w:lineRule="auto" w:after="160"/>
        <w:jc w:val="both"/>
      </w:pPr>
      <w:r>
        <w:rPr>
          <w:i w:val="0"/>
          <w:sz w:val="23"/>
        </w:rPr>
        <w:t>Beyond the Republican Party (§6.2.4) and the Independent Patriots for Change (whose effective procedural alignment with the Standing Committee's promoting position is documented in §6.2.2 through the participation of Hon. Nashinge and Hon. Likando in the proponent-sponsored Kazakhstan study visit), no other Namibian parliamentary party has issued a Headspring-specific institutional position that the structured search has located. The Popular Democratic Movement, the Namibia Economic Freedom Fighters (NEEF), the National Unity Democratic Organisation (NUDO), the Affirmative Repositioning movement, and the smaller parliamentary parties have, on the documented record, addressed the case only through individual members' statements rather than through documented party-level positions. The PDM (Hon. Vries), NEEF (Hon. Iipumbu), and NUDO (Hon. Kandorozu) representatives on the Standing Committee are not recorded in the Committee's 2025 report as having participated in the Kazakhstan study visit (Parliamentary Standing Committee on Natural Resources, 2025). The pattern across opposition parties is therefore differentiated rather than uniform: the smallest opposition party (the Republican Party) is the most substantively engaged in opposition; the largest opposition party (the IPC) is procedurally aligned with the Committee's promoting position; and the three other opposition parties present on the Committee neither participated in the proponent-sponsored visit nor have documented party-level positions in the open record. The differentiation is itself a structural feature of the case, and one whose explanation lies beyond the immediate scope of this chapter. What the chapter records is the documented pattern.</w:t>
      </w:r>
    </w:p>
    <w:p>
      <w:pPr>
        <w:spacing w:line="336" w:lineRule="auto" w:after="160"/>
        <w:jc w:val="both"/>
      </w:pPr>
      <w:r>
        <w:rPr>
          <w:i w:val="0"/>
          <w:sz w:val="23"/>
        </w:rPr>
        <w:t>Organised labour is the second category of expected-but-absent voices. The Mineworkers Union of Namibia (MUN), the National Union of Namibian Workers (NUNW), and the Namibian Public Workers Union have not, on the documented record, issued a Headspring-specific institutional position. This absence is analytically significant because the case turns substantially on the jobs/water trade-off and because organised labour would, in many comparable extractive cases, be a principal voice on the jobs side of the trade-off. That MUN in particular has not engaged the case institutionally is consistent with the union's primary focus on existing uranium operations (Rössing, Husab) where MUN members are already employed; the Headspring project is at the exploration stage and would not, for some years, produce a MUN-organised workforce. The structural consequence, however, is that the jobs argument is carried in the documented record principally by the proponent, by the Standing Committee, and by individual community informants in Leonardville, not by organised labour speaking for a constituency of workers. The 500 short-term jobs the project promises (Namibian Chamber of Environment, 2025) are therefore positioned in the documentary record as a project-developmental claim rather than as a claim made by the workers who would benefit. This asymmetry in who carries the jobs argument is one of the features of the case that makes the materially-dependent ambivalent position (§6.4.6) structurally vulnerable: the argument that purports to speak for them is not being made by an organisation accountable to them.</w:t>
      </w:r>
    </w:p>
    <w:p>
      <w:pPr>
        <w:spacing w:line="336" w:lineRule="auto" w:after="160"/>
        <w:jc w:val="both"/>
      </w:pPr>
      <w:r>
        <w:rPr>
          <w:i w:val="0"/>
          <w:sz w:val="23"/>
        </w:rPr>
        <w:t>A third documented absence in this section, the absence signalled forward from §6.2.1, concerns the industry association. The Namibian Uranium Association's documented position (NUA, 2024) advocates for the uranium sector as a whole and lists Headspring among its member companies, but no Headspring-specific NUA statement on the 2021 MAWLR permit withdrawal, on the 2017 to 2018 borehole-drilling non-compliance findings, or on the procedural concerns raised by Pallett and Iipinge (2024) has been located in the structured open-record search. The absence is analytically significant for two reasons. First, the NUA is, by its own positioning, the industry voice that would be expected to address regulatory compliance questions affecting a member company, and in a case where the regulatory record contains the matters just named, the institutional silence is itself a documented feature of the open record rather than an evidentiary gap. Second, the silence has the same procedural effect as the opposition-party and organised-labour absences: it leaves the institutional defence of the proponent's procedural standing to the proponent itself and to the parliamentary and ministerial actors whose positions §6.2.2 has documented. The industry-association layer that, in a comparably regulated extractive case, would be expected to speak to the regulatory specifics is not in the documented record speaking to them. This is a structural absence at the industry-association level of the field, and it sits alongside, and reinforces, the opposition-party and organised-labour absences just described.</w:t>
      </w:r>
    </w:p>
    <w:p>
      <w:pPr>
        <w:spacing w:before="280" w:after="120"/>
      </w:pPr>
      <w:r>
        <w:rPr>
          <w:b/>
          <w:color w:val="1F3864"/>
          <w:sz w:val="27"/>
        </w:rPr>
        <w:t>6.6.5  The structurally absent organised affirmative grassroots voice</w:t>
      </w:r>
    </w:p>
    <w:p>
      <w:pPr>
        <w:spacing w:line="336" w:lineRule="auto" w:after="160"/>
        <w:jc w:val="both"/>
      </w:pPr>
      <w:r>
        <w:rPr>
          <w:i w:val="0"/>
          <w:sz w:val="23"/>
        </w:rPr>
        <w:t>The most consequential single absence in the documented record and in the focus-group corpus is the absence of an organised affirmative grassroots voice in the affected communities, a voice that would, on Boutilier's (2014) framework, occupy the upper-right region of Figure 6.1, where high material dependence on the project would intersect with high trust in the procedural channels through which the project is being advanced. No focus-group cluster occupies this region. No documented community-level institution carries this position. No civil-society organisation within the affected communities advocates for the project on terms the affected communities themselves recognise as authoritative.</w:t>
      </w:r>
    </w:p>
    <w:p>
      <w:pPr>
        <w:spacing w:line="336" w:lineRule="auto" w:after="160"/>
        <w:jc w:val="both"/>
      </w:pPr>
      <w:r>
        <w:rPr>
          <w:i w:val="0"/>
          <w:sz w:val="23"/>
        </w:rPr>
        <w:t>The absence is not contingent. The structural conditions Chapter 5 mapped explain why it is structural. For an affirmative grassroots voice to be sustained in this field, the conditions would have to include: a documentary information environment in which the proponent's claims could be independently verified by community members (§5.2); a trust environment in which the procedural channels through which consent would be processed had earned the affected community's trust (§5.3); a political-economic configuration in which openness to the project was not conditional on acute material need (§5.4); a non-substitutable resource that the project could be shown not to imperil (§5.5); a place attachment that the project could be shown not to disrupt (§5.6); and a community gradient that gave both principal communities a similar basis for evaluating the project on its merits (§5.7). None of these conditions holds in the present case. The absence of the organised affirmative grassroots voice is therefore not a gap in the evidence. It is what the evidence shows. It is the field's own answer to the question of whether the project has earned the consent of the community on terms that recognise the community's own conditions for consent.</w:t>
      </w:r>
    </w:p>
    <w:p>
      <w:pPr>
        <w:spacing w:line="336" w:lineRule="auto" w:after="160"/>
        <w:jc w:val="both"/>
      </w:pPr>
      <w:r>
        <w:rPr>
          <w:i w:val="0"/>
          <w:sz w:val="23"/>
        </w:rPr>
        <w:t>Two clarifications guard the analytical weight of this finding. First, the absence of an organised affirmative voice is not the absence of any affirmative testimony. Individual Leonardville participants express support for the project as a job creator within the materially-dependent ambivalent cluster (§6.4.6); the Omaheke Governor's co-existence formulation (§6.2.2) is on the documentary record; individual traditional leaders identified in the Republican Party's influence-allegation may hold supportive positions; the proponent has commissioned consultation events at which supportive views have been registered. The absence is the absence of organised, sustained, institutionally accountable, community-anchored affirmative position-taking, the kind of position-taking that would produce a counterpart to SAUMA on the supportive side of the case. No such counterpart exists. Second, the absence does not foreclose the possibility of its future emergence. A change in procedural conditions (an independent international review producing findings that affected communities recognise as authoritative, a binding transboundary consultation, a credible liability regime, a substantively different EIA process) might produce the conditions under which an organised affirmative voice could be sustained. The absence reports the present configuration; it does not foreclose the future.</w:t>
      </w:r>
    </w:p>
    <w:p>
      <w:pPr>
        <w:spacing w:before="280" w:after="120"/>
      </w:pPr>
      <w:r>
        <w:rPr>
          <w:b/>
          <w:color w:val="1F3864"/>
          <w:sz w:val="27"/>
        </w:rPr>
        <w:t>6.6.6  The pattern of absences as a structural feature of the case</w:t>
      </w:r>
    </w:p>
    <w:p>
      <w:pPr>
        <w:spacing w:line="336" w:lineRule="auto" w:after="160"/>
        <w:jc w:val="both"/>
      </w:pPr>
      <w:r>
        <w:rPr>
          <w:i w:val="0"/>
          <w:sz w:val="23"/>
        </w:rPr>
        <w:t>The five categories of absence (governing-party, downstream-state, local-institutional, opposition-party-and-labour, and community-affirmative) are not independent. They cluster around three structural features of the case that the present chapter has documented from different angles. The first is the procedural absence of an authoritative single state voice (§6.3): the governing party's silence and the downstream states' silence are the international and party-political analogues of the state's internal split. The second is the structural under-equipment of local institutions for national-scale resource-decision processes: village councils and regional councils have no operative statutory standing in mineral-rights decisions, and traditional authorities have not developed the coordination mechanisms that would allow them to produce consolidated institutional positions across fragmented authority structures. The third is the absence of a procedural venue in which the affected community can register its position in a form that the documentary record will recognise: focus groups produce community-level analytical findings; Council Chambers produce procedural minutes on matters within their statutory competence; consultation events produce attendance registers. None of these venues produces the documented community-level position-taking that the social-licence question requires.</w:t>
      </w:r>
    </w:p>
    <w:p>
      <w:pPr>
        <w:spacing w:line="336" w:lineRule="auto" w:after="160"/>
        <w:jc w:val="both"/>
      </w:pPr>
      <w:r>
        <w:rPr>
          <w:i w:val="0"/>
          <w:sz w:val="23"/>
        </w:rPr>
        <w:t>The cumulative effect of these absences is that the documented record of the case is, in important respects, a record of who is positioned to speak rather than a record of who is positioned within the case. The proponent speaks; the industry speaks; the protective ministries speak; the parliamentary committee speaks; the documented opposition speaks (SAUMA, NCE, NAU, RP, ORASECOM, IGRAC, Miller, Tjipangandjara). The governing party does not; the downstream states do not; the village councils and traditional authorities do not (in their institutional capacity); organised labour does not; the opposition parties beyond the Republican Party do not; and the organised affirmative grassroots voice does not exist. Stated as a procedural proposition, the case turns on a machinery that converts opinion into voice only for those actors who already hold institutional standing in the venues where positions are recorded: the EIA register, the parliamentary committee minutes, the ministerial-decision record, the national press, the international intergovernmental forums. Where the machinery does not reach (into the affected community's everyday institutions, into the absent organised affirmative grassroots voice, into the downstream-state apparatus, into organised labour and the opposition parties beyond the RP) opinion remains opinion and is not converted into procedurally-cognisable voice. This is the structural condition the §6.7 synthesis must address, and it is the condition that determines, more than any single position-statement, what kind of social licence the case is positioned to produce.</w:t>
      </w:r>
    </w:p>
    <w:p>
      <w:pPr>
        <w:spacing w:before="360" w:after="120"/>
      </w:pPr>
      <w:r>
        <w:rPr>
          <w:b/>
          <w:color w:val="1F3864"/>
          <w:sz w:val="32"/>
        </w:rPr>
        <w:t>6.7  Synthesis: what social licence is on offer in the STAS case, and what social licence is being refused</w:t>
      </w:r>
    </w:p>
    <w:p>
      <w:pPr>
        <w:spacing w:line="336" w:lineRule="auto" w:after="160"/>
        <w:jc w:val="both"/>
      </w:pPr>
      <w:r>
        <w:rPr>
          <w:i w:val="0"/>
          <w:sz w:val="23"/>
        </w:rPr>
        <w:t>The chapter's evidentiary work is now complete. §6.2 set out the documented organisational positions in the public record across the proponent and its industry-aligned voice, the promoting and protective limbs of the state, civil society and farmers' bodies, and the intergovernmental and technical-authority cluster. §6.2.7 added the basin-wide EPL landscape and identified the Ministry of Mines and Energy's substantive position through its documented administrative behaviour rather than through its public statements. §6.3 analysed the structure of the state's split position, located its stabilisation in the statutory architecture and the executive's incentive structure, and identified three procedural-justice costs the stabilised split imposes on the conditions for legitimacy. §6.4 rendered the aggregated community-level positions as a six-position typology, mapped against material dependence on the project and trust in the process in Figure 6.1, and showed that the centre of gravity of the community-level positions sits below the trust midline. §6.5 reported the individual informed-observer accounts under the methodological discipline that they are interpretation of the field rather than institutional position-taking, and identified the additional institutional-detail dimensions those accounts contribute. §6.6 collected the structural absences in the documented record (the governing-party absence, the downstream-state absences, the local-institutional absences within the affected communities, the opposition-party and organised-labour absences, and the structurally absent organised affirmative grassroots voice) and identified the patterns those absences form. The chapter's research question, restated at the head of §6.1, was:</w:t>
      </w:r>
    </w:p>
    <w:p>
      <w:pPr>
        <w:spacing w:line="300" w:lineRule="auto" w:before="80" w:after="160"/>
        <w:ind w:left="567" w:right="283"/>
        <w:jc w:val="both"/>
      </w:pPr>
      <w:r>
        <w:rPr>
          <w:color w:val="262626"/>
          <w:sz w:val="21"/>
        </w:rPr>
        <w:t>How are positions on the proposed Headspring uranium project in the STAS constituted across the field of contestation, through documented organisational statements, through aggregated community sentiment, and through individual informed observation, and what does the distribution and asymmetry of these three evidentiary channels, together with the structural absences they reveal, indicate about the procedural conditions for social licence?</w:t>
      </w:r>
    </w:p>
    <w:p>
      <w:pPr>
        <w:spacing w:line="336" w:lineRule="auto" w:after="160"/>
        <w:jc w:val="both"/>
      </w:pPr>
      <w:r>
        <w:rPr>
          <w:i w:val="0"/>
          <w:sz w:val="23"/>
        </w:rPr>
        <w:t>The synthesis that follows answers this question in five parts. §6.7.1 maps the documented and aggregated positions of the field onto Boutilier's (2014) four-level social-licence pyramid, with Figure 6.2 as the visual anchor. §6.7.2 examines what the documented field shows about each of the four levels, and, crucially, what the structural absences in §6.6 contribute to the upper two levels. §6.7.3 characterises the kind of social licence that is, on the documented record, currently on offer. §6.7.4 characterises the kind of social licence that is being refused, by the affected communities, by the technical-authority cluster, by civil society, and by the documented absences. §6.7.5 identifies the procedural conditions under which a defensible social licence in this case could, in principle, be developed, and notes which of those conditions are currently being met and which are not. The chapter then closes with a brief transition to Chapter 7.</w:t>
      </w:r>
    </w:p>
    <w:p>
      <w:pPr>
        <w:spacing w:before="280" w:after="120"/>
      </w:pPr>
      <w:r>
        <w:rPr>
          <w:b/>
          <w:color w:val="1F3864"/>
          <w:sz w:val="27"/>
        </w:rPr>
        <w:t>6.7.1  Mapping the documented and aggregated field onto the Boutilier pyramid</w:t>
      </w:r>
    </w:p>
    <w:p>
      <w:pPr>
        <w:spacing w:line="336" w:lineRule="auto" w:after="160"/>
        <w:jc w:val="both"/>
      </w:pPr>
      <w:r>
        <w:rPr>
          <w:i w:val="0"/>
          <w:sz w:val="23"/>
        </w:rPr>
        <w:t>Boutilier's (2014) four-level model of social licence (withholding or withdrawal at the base; acceptance at the second level; approval at the third; and psychological identification at the peak) has become the most influential single conceptual frame in the social-licence literature (see Thomson and Boutilier, 2011; Moffat and Zhang, 2014; Gehman, Lefsrud, and Lounsbury, 2017). The model treats each level as a distinct mode of relationship between a project and its host community, with increasing depth of commitment from withholding upward and increasing analytical difficulty (in the literature's terms) as one moves toward identification. Owen and Kemp (2017, pp. 73 to 82) caution against treating the pyramid as a developmental ladder along which projects automatically climb. Their critique is that approval and identification, in particular, require structural conditions that many extractive cases do not produce and that the procedural arrangements through which such projects are typically advanced are not designed to deliver. The Headspring / STAS case is, on the chapter's analysis, a case that bears out the Owen and Kemp critique in detail. Figure 6.2 maps the documented and aggregated positions identified in §§6.2 to 6.6 onto Boutilier's four levels and shows the visual consequence.</w:t>
      </w:r>
    </w:p>
    <w:p>
      <w:pPr>
        <w:spacing w:before="200" w:after="80"/>
        <w:jc w:val="center"/>
      </w:pPr>
      <w:r>
        <w:drawing>
          <wp:inline xmlns:a="http://schemas.openxmlformats.org/drawingml/2006/main" xmlns:pic="http://schemas.openxmlformats.org/drawingml/2006/picture">
            <wp:extent cx="5669280" cy="4474578"/>
            <wp:docPr id="3" name="Picture 3"/>
            <wp:cNvGraphicFramePr>
              <a:graphicFrameLocks noChangeAspect="1"/>
            </wp:cNvGraphicFramePr>
            <a:graphic>
              <a:graphicData uri="http://schemas.openxmlformats.org/drawingml/2006/picture">
                <pic:pic>
                  <pic:nvPicPr>
                    <pic:cNvPr id="0" name="Figure_6_2_Boutilier_Pyramid.png"/>
                    <pic:cNvPicPr/>
                  </pic:nvPicPr>
                  <pic:blipFill>
                    <a:blip r:embed="rId16"/>
                    <a:stretch>
                      <a:fillRect/>
                    </a:stretch>
                  </pic:blipFill>
                  <pic:spPr>
                    <a:xfrm>
                      <a:off x="0" y="0"/>
                      <a:ext cx="5669280" cy="4474578"/>
                    </a:xfrm>
                    <a:prstGeom prst="rect"/>
                  </pic:spPr>
                </pic:pic>
              </a:graphicData>
            </a:graphic>
          </wp:inline>
        </w:drawing>
      </w:r>
    </w:p>
    <w:p>
      <w:pPr>
        <w:spacing w:after="280"/>
        <w:jc w:val="center"/>
      </w:pPr>
      <w:r>
        <w:rPr>
          <w:i/>
          <w:color w:val="595959"/>
          <w:sz w:val="20"/>
        </w:rPr>
        <w:t>Figure 6.2. The Boutilier (2014) four-level social-licence pyramid applied to the Headspring uranium in-situ leach mining project in the STAS. Documented and aggregated positions are shown at the level Boutilier's framework would assign to them; the upper two levels are stamped as procedurally only (approval) and structurally empty (identification) respectively. Source: Author's compilation from the seventeen-source qualitative corpus and the documentary record (2020 to 2026).</w:t>
      </w:r>
    </w:p>
    <w:p>
      <w:pPr>
        <w:spacing w:line="336" w:lineRule="auto" w:after="160"/>
        <w:jc w:val="both"/>
      </w:pPr>
      <w:r>
        <w:rPr>
          <w:i w:val="0"/>
          <w:sz w:val="23"/>
        </w:rPr>
        <w:t>The mapping in Figure 6.2 is constructed through three evidentiary moves consistent with the chapter's discipline. First, where an organisation, a community-level cluster, or an intergovernmental body has a documented position, the position is placed at the Boutilier level that the position itself implies: refusal goes at the base; willingness to live with the project without endorsing it goes at acceptance; active endorsement goes at approval; treating the project as one's own goes at identification. Second, where a position is aggregated from the focus-group and Village Council corpus rather than drawn from a documented institutional statement, the placement tracks the typology developed in §6.4: principled refusers and conditional refusers go at withholding; the wait-and-see, pragmatic-acquiescent, materially-dependent ambivalent, and reluctant-inclusion clusters go at acceptance, with the caveat that the materially-dependent ambivalent cluster sits at the boundary between acceptance and grudging compliance rather than constituting substantive acceptance in the way Boutilier's framework would understand it. Third, where the analysis has identified a structural absence, the absence is registered on the figure at the level the absent position would, if it existed, occupy. Most consequentially, the structurally absent organised affirmative grassroots voice is registered at identification, the level it would have to occupy if Boutilier's model is to be satisfied.</w:t>
      </w:r>
    </w:p>
    <w:p>
      <w:pPr>
        <w:spacing w:before="280" w:after="120"/>
      </w:pPr>
      <w:r>
        <w:rPr>
          <w:b/>
          <w:color w:val="1F3864"/>
          <w:sz w:val="27"/>
        </w:rPr>
        <w:t>6.7.2  The empty upper levels and the procedural-only approval</w:t>
      </w:r>
    </w:p>
    <w:p>
      <w:pPr>
        <w:spacing w:line="336" w:lineRule="auto" w:after="160"/>
        <w:jc w:val="both"/>
      </w:pPr>
      <w:r>
        <w:rPr>
          <w:i w:val="0"/>
          <w:sz w:val="23"/>
        </w:rPr>
        <w:t>The first analytical observation Figure 6.2 makes is that the identification level (the peak of Boutilier's pyramid, where the affected community would treat the project as its own) is empty in the documented record and in the aggregated community corpus alike. No cluster in any focus group, no institutional voice within the affected communities, no civil-society organisation, no informed observer, and no party in the documented record sits at this level. The grey marker indicating the structurally absent organised affirmative grassroots voice in Figure 6.1 is the analytical counterpart to the empty peak of Figure 6.2: the position that would, on Boutilier's terms, constitute identification is the position the chapter has identified as structurally absent. The emptiness of the identification level is therefore not a finding about the present moment of the case (a finding that could be reversed by a change of conditions). It is a finding about the structural conditions Chapter 5 mapped and the procedural conditions §6.3 described. Identification, in Boutilier's framework, requires a community for which the project has become so deeply integrated into the community's own self-understanding of its future that the community defends the project on its own terms (Boutilier, 2014, p. 266). None of the structural conditions that would produce such a community is present in the STAS case.</w:t>
      </w:r>
    </w:p>
    <w:p>
      <w:pPr>
        <w:spacing w:line="336" w:lineRule="auto" w:after="160"/>
        <w:jc w:val="both"/>
      </w:pPr>
      <w:r>
        <w:rPr>
          <w:i w:val="0"/>
          <w:sz w:val="23"/>
        </w:rPr>
        <w:t>The approval level (Boutilier's third level, at which the affected community actively endorses the project) is sparse rather than entirely empty, but the population at this level is procedural rather than substantive. The Parliamentary Standing Committee on Natural Resources, under the chairing of Hon. Aupindi, occupies this level through its 2025 report's recommendation that uranium exploration in the Omaheke region should continue 'in the absence of evidence that groundwater has been or will be contaminated' (Parliamentary Standing Committee on Natural Resources, 2025); the IPC sits at the same level through the documented procedural alignment of Hon. Nashinge and Hon. Likando with the Committee's recommendations and through their participation in the proponent-sponsored Kazakhstan study visit (§6.2.2). The Ministry of Mines and Energy is at this level through its continued administrative facilitation of uranium-exploration licensing across approximately 59% of the SAB (§6.2.7), as is the Office of the Environmental Commissioner through its active clearance process. The Namibian Uranium Association is at this level through its institutional industry-promotion voice. The proponent (Headspring Investments) asserts approval through its public communications, but this is a corporate self-claim rather than a community-side endorsement, and Boutilier's framework does not treat the proponent as an occupant of any of its levels: the levels are positions the community takes toward the project, not positions the project takes toward itself.</w:t>
      </w:r>
    </w:p>
    <w:p>
      <w:pPr>
        <w:spacing w:line="336" w:lineRule="auto" w:after="160"/>
        <w:jc w:val="both"/>
      </w:pPr>
      <w:r>
        <w:rPr>
          <w:i w:val="0"/>
          <w:sz w:val="23"/>
        </w:rPr>
        <w:t>Two features of the approval-level population are analytically consequential. First, none of the actors at this level is anchored in the affected communities. The Parliamentary Standing Committee speaks from the National Assembly; the IPC speaks from the parliamentary opposition leadership; the MME and the Environmental Commissioner speak from the executive in Windhoek; the NUA speaks from the industry-association headquarters. None of these actors is itself an affected-community institution, and none derives its standing from accountability to the affected communities. This is the point at which Bice's (2014) and Ehrnström-Fuentes's (2016) critique of social-licence claims in extractive cases bites at its sharpest: the approval that is registered in the documentary record is approval by actors who do not stand in a community-side relationship to the project. Second, the approval at this level is procedural rather than substantive. The Standing Committee's recommendation does not endorse the substantive claim that the project is safe; it endorses the procedural claim that contamination has not been proven to have already occurred, a reversal of the precautionary evidentiary burden the Water Resources Management Act of 2013 would otherwise impose (§6.3.1). The MME's administrative behaviour is the procedural facilitation of an exploration programme, not a substantive judgement that the programme should proceed. The NUA's industry-promotion voice is a substantive claim on behalf of the industry, but it is not a community-side endorsement. The 'PROCEDURAL ONLY' stamp on Figure 6.2's approval level captures this: the approval present at this level is the kind that procedural architecture can produce; it is not the kind that legitimate community consent would require.</w:t>
      </w:r>
    </w:p>
    <w:p>
      <w:pPr>
        <w:spacing w:before="280" w:after="120"/>
      </w:pPr>
      <w:r>
        <w:rPr>
          <w:b/>
          <w:color w:val="1F3864"/>
          <w:sz w:val="27"/>
        </w:rPr>
        <w:t>6.7.3  The populated lower levels: where the field's weight actually sits</w:t>
      </w:r>
    </w:p>
    <w:p>
      <w:pPr>
        <w:spacing w:line="336" w:lineRule="auto" w:after="160"/>
        <w:jc w:val="both"/>
      </w:pPr>
      <w:r>
        <w:rPr>
          <w:i w:val="0"/>
          <w:sz w:val="23"/>
        </w:rPr>
        <w:t>Against the empty identification level and the procedurally-populated approval level, the lower two levels of Figure 6.2 (acceptance and withholding) are heavily populated. The withholding level carries the substantive opposition: SAUMA, NCE, NAU, NEWS (through Pallett and Iipinge, 2024), and the Republican Party on the civil-society and political-opposition side; ORASECOM, IGRAC, UNESCO (procedural), R. Miller (SAUMA-affiliated), and the Water Solutions Group on the intergovernmental and technical-authority side; MAWLR (under successive ministers) on the protective state side; and the Cabinet by way of its precautionary deferral. The aggregated community-level positions at this level are the principled refusers (concentrated in Aminuis) and the conditional refusers (across both communities). The acceptance level carries the remaining community-level clusters: wait-and-see, pragmatic-acquiescent, reluctant-inclusion, and materially-dependent ambivalent (with the caveat that the last sits at the boundary of acceptance and grudging compliance).</w:t>
      </w:r>
    </w:p>
    <w:p>
      <w:pPr>
        <w:spacing w:line="336" w:lineRule="auto" w:after="160"/>
        <w:jc w:val="both"/>
      </w:pPr>
      <w:r>
        <w:rPr>
          <w:i w:val="0"/>
          <w:sz w:val="23"/>
        </w:rPr>
        <w:t>Two analytical observations from this distribution are worth stating explicitly. First, the withholding level is occupied by actors who carry substantial professional, scientific, institutional, and intergovernmental standing. The opposition is not, on the documented record, a marginal cluster of community actors. It includes an intergovernmental body with formal competence over the transboundary aquifer (ORASECOM), a UN-affiliated scientific institute (IGRAC), the country's principal environmental civil-society organisation (NCE), the country's only environmental-civil-society institutional voice on EIA-architecture failure (NEWS, through Pallett and Iipinge, 2024), the country's principal agricultural union (NAU) and its affiliated farmers' association on the affected basin (SAUMA), a former Director of the Geological Survey of Namibia (R. Miller), the Water Solutions Group's technical panel, and the country's water-protection ministry (MAWLR). The substantive weight of this opposition is, in the documented record, considerable. Second, the acceptance level (by far the most populous in numerical terms) is populated by actors and clusters whose acceptance is conditional, deferred, reluctant, or materially compelled. The wait-and-see cluster is the largest in the focus-group corpus, and its acceptance is provisional on information that has not yet been produced; the pragmatic-acquiescent cluster's acceptance is the calculation that refusal is unavailing; the reluctant-inclusion cluster's acceptance is conditioned by representative obligation; the materially-dependent ambivalent cluster's acceptance is conditioned by acute material need. Acceptance, at this level, is therefore not the kind of acceptance Boutilier's framework would treat as the foundation of social licence. It is the kind that Gunningham, Kagan, and Thornton (2004) characterise as 'grudging compliance' rather than as social licence proper.</w:t>
      </w:r>
    </w:p>
    <w:p>
      <w:pPr>
        <w:spacing w:line="336" w:lineRule="auto" w:after="160"/>
        <w:jc w:val="both"/>
      </w:pPr>
      <w:r>
        <w:rPr>
          <w:i w:val="0"/>
          <w:sz w:val="23"/>
        </w:rPr>
        <w:t>The full visual statement of Figure 6.2 is therefore the following. The case has a substantial, professionally weighty, institutionally diverse withholding-level population; a populous but conditional, deferred, reluctant, or materially-compelled acceptance-level population; a procedurally-populated but community-empty approval level; and a structurally empty identification peak. The visual weight of the pyramid lies below the midline. This is the documented architecture of the field, and the synthesis question is what social licence the field, in this architecture, can be said to constitute.</w:t>
      </w:r>
    </w:p>
    <w:p>
      <w:pPr>
        <w:spacing w:before="280" w:after="120"/>
      </w:pPr>
      <w:r>
        <w:rPr>
          <w:b/>
          <w:color w:val="1F3864"/>
          <w:sz w:val="27"/>
        </w:rPr>
        <w:t>6.7.4  The kind of social licence that is on offer</w:t>
      </w:r>
    </w:p>
    <w:p>
      <w:pPr>
        <w:spacing w:line="336" w:lineRule="auto" w:after="160"/>
        <w:jc w:val="both"/>
      </w:pPr>
      <w:r>
        <w:rPr>
          <w:i w:val="0"/>
          <w:sz w:val="23"/>
        </w:rPr>
        <w:t>What the documented and aggregated field is positioned to produce, on the analysis above, is a licence at the boundary between withholding and conditional acceptance, with the appearance of approval at the procedural level and an empty identification peak. This is not the social licence Boutilier's framework calls 'approval', and it is not what Moffat and Zhang's (2014) procedural-fairness model would treat as licence earned through legitimate engagement. It is, more precisely, what Gunningham, Kagan, and Thornton (2004) call grudging compliance: a project tolerated under conditions of material need and procedural exhaustion, but not endorsed by the affected community, not anchored in the community's own institutional voices, and not produced by procedural channels that the affected community recognises as fair or trustworthy. The procedural architecture, however, treats the documentary record at face value: attendance registers count as community engagement; selective consultation events count as consultation; the absence of mass mobilised refusal counts as acceptance; the Standing Committee's recommendation counts as endorsement. The licence on offer, in other words, is the procedural facsimile of social licence, the institutional artefact that the present EIA, parliamentary-committee, and ministerial-clearance architecture produces when projects of this kind move through it. It is the licence the architecture is designed to deliver, not the licence the affected community has had the opportunity to grant or refuse on terms it recognises.</w:t>
      </w:r>
    </w:p>
    <w:p>
      <w:pPr>
        <w:spacing w:line="336" w:lineRule="auto" w:after="160"/>
        <w:jc w:val="both"/>
      </w:pPr>
      <w:r>
        <w:rPr>
          <w:i w:val="0"/>
          <w:sz w:val="23"/>
        </w:rPr>
        <w:t>Three features of the licence on offer require attention. First, it is licence by silence rather than by speech. The structural absences identified in §6.6 (the governing party's silence, the downstream states' silence, the formal village councils' silence, organised labour's silence, the absent affirmative grassroots voice) together produce a documented record in which the absence of refusal is taken to amount to consent. The structural costs of this (the procedural transfer of evidentiary burden onto those raising concerns (§6.3.3); the Standing Committee's reversal of the precautionary standard (§6.3.1); the systemic underperformance of the EIA architecture documented by NEWS (§6.2.4)) converge on a single consequence: the project can be presented as having earned community licence simply because the procedural arrangements have failed to produce a venue in which the community could register a position that the architecture would treat as binding. This is what Owen and Kemp (2017, pp. 21 to 28) call the asymmetry of procedural capacity, operating in its strongest form. Second, the licence on offer is licence by misrecognition. The materially-dependent ambivalent cluster's reluctant engagement with the project's information events is read by the procedural architecture as substantive endorsement; the reluctantly-included local-leadership cluster's representative-capacity engagement with the proponent's consultations is read as community endorsement of the project; the wait-and-see cluster's deferred position is read as the absence of principled opposition rather than as deferred judgement. This is the political-ontological misrecognition Ehrnström-Fuentes (2016) identifies in mining cases: the procedural architecture and the affected community do not share an ontology of consent, and the architecture reads the community in the architecture's own terms. Third, the licence on offer is licence by asymmetric scope. The Headspring component of the basin-wide uranium-exploration programme is the visible focus of the social-licence question, but as §6.2.7 showed, the actual programme extends across nearly 60% of the SAB under multiple corporate names and is continuously expanding through pending applications. The MME licence-contact register (MME, 2025), cross-tabulated in §6.2.7, exposes three corporate-services nexuses (19 Bodin Street (Klein Windhoek), Unit 314 Freedom Plaza, and the Arno Henker Haus building) at which multiple separately-incorporated EPL holders share an administrative address, a contact person, or a corporate-secretariat email domain. The nexuses do not, by themselves, establish common beneficial ownership; that question lies beyond the open record. What they do establish is that the visible fragmentation of the basin-wide programme into separately named EPL holders is, at the administrative level, less fragmented than the licence register's surface presentation suggests. The licence the procedural architecture would produce, if it produced anything, would be a licence on the Headspring component; the programme to which the affected communities would in fact be subject is administered through a corporate-services architecture whose own fragmentation is, in part, an artefact of the register's presentation rather than of the underlying administrative reality. This is the pattern Kirsch (2014, pp. 6 to 30, 187 to 219) describes as the strategic disaggregation of corporate-mining footprints to manage community engagement by component rather than by programme, and the present case demonstrates the pattern at two levels simultaneously: the disaggregation of the basin-wide programme into multiple EPLs under different corporate names, and the partial administrative re-aggregation of those EPL holders at three shared corporate-services nexuses.</w:t>
      </w:r>
    </w:p>
    <w:p>
      <w:pPr>
        <w:spacing w:before="280" w:after="120"/>
      </w:pPr>
      <w:r>
        <w:rPr>
          <w:b/>
          <w:color w:val="1F3864"/>
          <w:sz w:val="27"/>
        </w:rPr>
        <w:t>6.7.5  The kind of social licence that is being refused</w:t>
      </w:r>
    </w:p>
    <w:p>
      <w:pPr>
        <w:spacing w:line="336" w:lineRule="auto" w:after="160"/>
        <w:jc w:val="both"/>
      </w:pPr>
      <w:r>
        <w:rPr>
          <w:i w:val="0"/>
          <w:sz w:val="23"/>
        </w:rPr>
        <w:t>The licence being refused, on the documented record, is structurally distinct from the licence on offer, and its content is identifiable. The withholding-level population in Figure 6.2 is convergent on four substantive features of what it will not consent to. The first is the substantive risk-bearing structure of in-situ leach uranium mining in a high-quality drinking-water aquifer. The NCE (2025) operative claim ('if the conditions found in Namibia were in either Australia or the USA, their respective environmental authorities would have thrown out the application to mine automatically') is the most direct formulation, but it is convergent with IGRAC's documented finding that contamination would be irreversible at human timescales; with ORASECOM's transboundary-protection position; with Miller's (2022) operative claim that 'development of uranium (extraction) in any drinking water aquifer must be prevented'; with the principled refusers' formulation that 'you cannot eat uranium'; and with the conditional refusers' formulation that no procedural arrangements yet on offer can produce the safety evidence they would require. The substantive refusal is anchored in hydrogeology, in international best practice, in intergovernmental transboundary law, and in pastoralist livelihood economics. It is not a refusal of mining in principle, and not a refusal of uranium mining in principle. It is a refusal of ISL mining in a particular hydrological configuration on a particular kind of aquifer.</w:t>
      </w:r>
    </w:p>
    <w:p>
      <w:pPr>
        <w:spacing w:line="336" w:lineRule="auto" w:after="160"/>
        <w:jc w:val="both"/>
      </w:pPr>
      <w:r>
        <w:rPr>
          <w:i w:val="0"/>
          <w:sz w:val="23"/>
        </w:rPr>
        <w:t>The second feature of what is being refused is the procedural architecture through which the project is being advanced. NEWS (Pallett and Iipinge, 2024) documents the empirical Namibian evidence: 28% EAPAN-registration rates among Environmental Assessment Practitioners; statutory notifications buried in classified ads; the Office of the Environmental Commissioner not inspecting projects or enforcing Environmental Management Plans; the documented refusal by Practitioners to provide Background Information Documents. The LAC informant (§6.5.2) describes the architecture's design-level inadequacy: the Section 54 appeal goes to the same minister whose office issued the underlying decision; class action is unavailable; the EIA process is designed to register objection rather than to negotiate consent. The ECC informant (§6.5.3) describes the consultation gap as 'consultation that meets the rules but doesn't meet the people'. The procedural refusal is therefore a refusal of the consent-producing apparatus itself, not only of the substantive outcome it would produce.</w:t>
      </w:r>
    </w:p>
    <w:p>
      <w:pPr>
        <w:spacing w:line="336" w:lineRule="auto" w:after="160"/>
        <w:jc w:val="both"/>
      </w:pPr>
      <w:r>
        <w:rPr>
          <w:i w:val="0"/>
          <w:sz w:val="23"/>
        </w:rPr>
        <w:t>The third feature is the asymmetry between proponent and community in procedural capacity. SAUMA's documented complaints about the proponent-sponsored Kazakhstan study visit being answered 'evasively, superficially or not at all' (Stampriet Aquifer Uranium Mining Association, 2023); the Tjipangandjara formulation that 'a football player cannot be a referee'; the Standing Committee's reversal of the evidentiary burden; the MME's continued administrative facilitation of EPLs across the basin in defiance of the protective MAWLR position. These are all forms of the same structural objection: that the procedural field is not configured to allow the affected community to engage the proponent on terms the community could reasonably regard as fair. The procedural-asymmetry refusal is the Moffat-and-Zhang (2014) procedural-fairness refusal, registered at the documented level.</w:t>
      </w:r>
    </w:p>
    <w:p>
      <w:pPr>
        <w:spacing w:line="336" w:lineRule="auto" w:after="160"/>
        <w:jc w:val="both"/>
      </w:pPr>
      <w:r>
        <w:rPr>
          <w:i w:val="0"/>
          <w:sz w:val="23"/>
        </w:rPr>
        <w:t>The fourth feature is the absence of an authoritative single state voice through which engagement could be sustained. §6.3 analysed the state's split as stabilised across changes of minister and committee chair, as asymmetrically resourced (per §6.2.7), and as procedurally costly. The withholding-level actors are not refusing because the state has refused to speak. They are refusing because the state speaks in multiple voices, none of which can be held to a position over time, and because the affected community has no procedural means of identifying which state voice to engage with. This is the structural refusal of a project being advanced in a configuration where the state, by its own internal division, cannot supply the interlocutor a defensible social licence would require.</w:t>
      </w:r>
    </w:p>
    <w:p>
      <w:pPr>
        <w:spacing w:line="336" w:lineRule="auto" w:after="160"/>
        <w:jc w:val="both"/>
      </w:pPr>
      <w:r>
        <w:rPr>
          <w:i w:val="0"/>
          <w:sz w:val="23"/>
        </w:rPr>
        <w:t>These four features of the refusal (substantive, procedural, asymmetry-of-capacity, and absence-of-authoritative-voice) are coherent with one another and convergent across the documented record. The refusal is not a single objection but a structurally coherent set of objections that the present configuration of the case is incapable of meeting on its own terms. This is the licence that is being refused: not the general licence to mine, not the licence to mine uranium, and not the licence to invest foreign capital in Namibia's extractive sector. The refusal is of a particular project (ISL uranium mining in a high-quality drinking-water transboundary aquifer) advanced through a particular procedural architecture (the EIA and ministerial-clearance process as currently documented) in conditions of structurally asymmetric voice and a structurally split state.</w:t>
      </w:r>
    </w:p>
    <w:p>
      <w:pPr>
        <w:spacing w:before="280" w:after="120"/>
      </w:pPr>
      <w:r>
        <w:rPr>
          <w:b/>
          <w:color w:val="1F3864"/>
          <w:sz w:val="27"/>
        </w:rPr>
        <w:t>6.7.6  The procedural conditions under which a defensible social licence could, in principle, be developed</w:t>
      </w:r>
    </w:p>
    <w:p>
      <w:pPr>
        <w:spacing w:line="336" w:lineRule="auto" w:after="160"/>
        <w:jc w:val="both"/>
      </w:pPr>
      <w:r>
        <w:rPr>
          <w:i w:val="0"/>
          <w:sz w:val="23"/>
        </w:rPr>
        <w:t>The synthesis would be incomplete if it stopped at the characterisation of what is on offer and what is being refused. Boutilier's (2014) framework, Moffat and Zhang's (2014) procedural-fairness model, Owen and Kemp's (2017) countervailing-power critique, and the FPIC doctrine (Schlosberg, 2007, pp. 14 to 17; Whyte, 2011) together specify the procedural conditions a defensible social licence in a case of this kind would require. Identifying those conditions is the chapter's contribution to the question of whether the STAS case could, under different procedural arrangements, produce a licence at all, and what those arrangements would have to look like. The conditions are stated here as a set. Their feasibility in the Namibian regulatory architecture is an issue Chapter 7 takes up.</w:t>
      </w:r>
    </w:p>
    <w:p>
      <w:pPr>
        <w:spacing w:line="336" w:lineRule="auto" w:after="160"/>
        <w:jc w:val="both"/>
      </w:pPr>
      <w:r>
        <w:rPr>
          <w:i w:val="0"/>
          <w:sz w:val="23"/>
        </w:rPr>
        <w:t>The first condition is a unified authoritative state voice on the case. Until the Cabinet resolves the documented split between MAWLR and the MME, or until the executive explicitly endorses one limb's position over the other, the affected community has no procedural counterpart with whom to engage. A defensible social-licence process would require, at minimum, a single named state office whose decisions bind the other ministries and whose engagement with the affected community produces commitments the state will not withdraw without disclosure of its reasons. The Cabinet's 'decision based on science' formulation gestures toward this kind of venue but does not yet constitute one.</w:t>
      </w:r>
    </w:p>
    <w:p>
      <w:pPr>
        <w:spacing w:line="336" w:lineRule="auto" w:after="160"/>
        <w:jc w:val="both"/>
      </w:pPr>
      <w:r>
        <w:rPr>
          <w:i w:val="0"/>
          <w:sz w:val="23"/>
        </w:rPr>
        <w:t>The second condition is an independent international scientific review whose findings are recognised as authoritative by the principal contesting parties before any environmental clearance is issued. The convergent NCE, IGRAC, ORASECOM, Miller, and Water Solutions Group positions all call for this; UNESCO and MAWLR have moved toward such a review through the 2024 stakeholder meetings; the Cabinet's 'decision based on science' commitment is consistent with it. The review would need to address the specific Stampriet conditions (high-quality drinking-water aquifer; transboundary hydrology; the Rietmond Member shale's confining role; the south-easterly groundwater flow direction; the Auob aquifer's higher natural alpha-beta activity); to be conducted by scientists from jurisdictions operating to international best practice (Australia and the United States are the obvious candidates); and to issue findings the proponent and the documented opposition would both be required to accept as the basis for subsequent procedural decisions. The review would not, in this specification, decide the licence question; it would decide the evidentiary question, on which a licence question could subsequently be asked.</w:t>
      </w:r>
    </w:p>
    <w:p>
      <w:pPr>
        <w:spacing w:line="336" w:lineRule="auto" w:after="160"/>
        <w:jc w:val="both"/>
      </w:pPr>
      <w:r>
        <w:rPr>
          <w:i w:val="0"/>
          <w:sz w:val="23"/>
        </w:rPr>
        <w:t>The third condition is formal transboundary consultation with Botswana and South Africa under the SADC Revised Protocol on Shared Watercourses and consistent with the obligations Eckstein (2017, pp. 132 to 148) sets out for transboundary groundwater. The downstream-state absences documented in §6.6.2 are part of what makes the present procedural configuration inadequate; their conversion from absence to engagement is a precondition of a licence that could be defensible at the regional level. ORASECOM is the obvious convening venue, and ORASECOM's documented position (§6.2.5) is consistent with the convening role.</w:t>
      </w:r>
    </w:p>
    <w:p>
      <w:pPr>
        <w:spacing w:line="336" w:lineRule="auto" w:after="160"/>
        <w:jc w:val="both"/>
      </w:pPr>
      <w:r>
        <w:rPr>
          <w:i w:val="0"/>
          <w:sz w:val="23"/>
        </w:rPr>
        <w:t>The fourth condition is a binding liability regime that would survive the proponent's withdrawal from the jurisdiction and that would extend across the basin-wide EPL landscape rather than across the Headspring component alone (see §6.2.7). The NCE (2025) and SAUMA (2023, 2024) positions both raise this as a structural concern: the proponent's corporate structure (Headspring Investments, Uranium One, Rosatom) is a multi-tiered international one whose Namibian liability exposure can be managed at the subsidiary level, and the wider EPL landscape mapped in §6.2.7 includes additional corporate proponents whose beneficial-ownership transparency and parent-company recourse are not in the open record. A defensible social-licence process would require liability arrangements with parent-company recourse, performance bonds adequate to the documented scale of potential contamination damages, and long-tail liability provisions consistent with the irreversibility of contamination on human timescales identified by IGRAC. The Namibian regulatory architecture does not currently provide for such arrangements as a standard feature of mineral-rights licensing; their introduction would be a regulatory-design change rather than a procedural one.</w:t>
      </w:r>
    </w:p>
    <w:p>
      <w:pPr>
        <w:spacing w:line="336" w:lineRule="auto" w:after="160"/>
        <w:jc w:val="both"/>
      </w:pPr>
      <w:r>
        <w:rPr>
          <w:i w:val="0"/>
          <w:sz w:val="23"/>
        </w:rPr>
        <w:t>The fifth condition is a community-side institutional infrastructure capable of registering a community position in a form the documentary record would recognise as binding. §6.6.3 showed that the affected communities currently lack such infrastructure: the village councils have no statutory competence over mineral-rights matters; the traditional authorities are fragmented; the focus group is a research methodology rather than a procedural venue. A defensible social-licence process would require either a community-side institutional venue (a designated community-representation body for the affected basin) or a procedural mechanism whose outputs the documentary record would treat with equivalent weight to formal institutional position-taking. Both options are precedented in comparable extractive cases internationally (see Hanna et al., 2016; Conde and Le Billon, 2017); neither is currently in place in the present case.</w:t>
      </w:r>
    </w:p>
    <w:p>
      <w:pPr>
        <w:spacing w:line="336" w:lineRule="auto" w:after="160"/>
        <w:jc w:val="both"/>
      </w:pPr>
      <w:r>
        <w:rPr>
          <w:i w:val="0"/>
          <w:sz w:val="23"/>
        </w:rPr>
        <w:t>The sixth condition is an information environment in which the proponent's and the documented opposition's accounts can be evaluated against shared evidentiary standards. §5.2 documented the present information environment as sparse and asymmetric; §6.5.3 documented the EIA architecture's underperformance through the Bezuidenhout account; NEWS (Pallett and Iipinge, 2024) documented it through empirical Namibian evidence. A defensible social-licence process would require an information-environment overhaul that addresses the specific deficits these sources identify: statutory notification standards that reach affected communities; Background Information Documents that are produced and distributed; OEC inspection and enforcement; EAPAN registration compliance; independent technical review of proponent-commissioned EIA materials; community-side access to technical expertise on terms comparable to the proponent's. This is the condition NEWS's institutional voice has documented most fully, and the one for which the empirical Namibian-evidence case is now in the record.</w:t>
      </w:r>
    </w:p>
    <w:p>
      <w:pPr>
        <w:spacing w:line="336" w:lineRule="auto" w:after="160"/>
        <w:jc w:val="both"/>
      </w:pPr>
      <w:r>
        <w:rPr>
          <w:i w:val="0"/>
          <w:sz w:val="23"/>
        </w:rPr>
        <w:t>These six conditions are not, individually, demanding in international comparative terms. Each of them is provided as standard in the regulatory architectures of jurisdictions where ISL mining is permitted (Australia, the United States); each is consistent with international best practice in extractive-sector social-licence work; each is implementable within the Namibian regulatory framework with the policy decisions Chapter 7 will take up. None of the six conditions is presently in place. The licence the project would need to earn cannot be earned through the procedural arrangements currently in use, because the procedural arrangements currently in use are not constituted to produce a licence at the level Boutilier's framework would call approval, let alone identification. The present case can produce, at best, the grudging compliance Gunningham, Kagan, and Thornton (2004) describe; it cannot produce the social licence Boutilier (2014) treats as the framework's analytical pay-off.</w:t>
      </w:r>
    </w:p>
    <w:p>
      <w:pPr>
        <w:spacing w:before="280" w:after="120"/>
      </w:pPr>
      <w:r>
        <w:rPr>
          <w:b/>
          <w:color w:val="1F3864"/>
          <w:sz w:val="27"/>
        </w:rPr>
        <w:t>6.7.7  The chapter's answer to its research question, and the handover to Chapter 7</w:t>
      </w:r>
    </w:p>
    <w:p>
      <w:pPr>
        <w:spacing w:line="336" w:lineRule="auto" w:after="160"/>
        <w:jc w:val="both"/>
      </w:pPr>
      <w:r>
        <w:rPr>
          <w:i w:val="0"/>
          <w:sz w:val="23"/>
        </w:rPr>
        <w:t>The chapter's answer to the research question stated at the head of §6.1 is the following. Positions on the proposed Headspring uranium project in the STAS are constituted across the field through three evidentiary channels (documented organisational statements, aggregated community sentiment, and individual informed observation) together with four categories of structural absence. The distribution and asymmetry of these three channels, and the pattern of the absences, indicate that the procedural conditions for social licence are not presently in place. The documented organisational opposition is numerous, professionally weighty, and institutionally diverse; the aggregated community-level positions concentrate below the trust-in-the-process midline; the informed-observer accounts converge with the documented opposition on the substantive merits; and the structural absences in the documented record cluster around three features of the case (the procedural absence of an authoritative single state voice; the structural under-equipment of local institutions for national-scale resource decisions; the absence of a procedural venue in which the affected community can register its position in a form the documentary record will recognise). On Boutilier's (2014) four-level social-licence framework, the upper two levels are empty or procedurally-populated rather than substantively-populated; the populated levels are withholding (heavily) and acceptance (conditionally). The licence on offer is the procedural facsimile produced by the architecture the project is being advanced through; the licence being refused is structurally coherent and substantively anchored. The conditions under which a defensible licence could in principle be developed are identifiable, internationally precedented, and not in place.</w:t>
      </w:r>
    </w:p>
    <w:p>
      <w:pPr>
        <w:spacing w:line="336" w:lineRule="auto" w:after="160"/>
        <w:jc w:val="both"/>
      </w:pPr>
      <w:r>
        <w:rPr>
          <w:i w:val="0"/>
          <w:sz w:val="23"/>
        </w:rPr>
        <w:t>The chapter's contribution to the report's overall argument is therefore the following. Chapter 5 established the structural conditions under which legitimacy in the case would have to be produced. Chapter 6 has now established the architecture of positions, observations, and absences within those conditions, shown what kind of licence the present configuration can deliver, identified what kind of licence the field is refusing, and specified what would have to change for a defensible licence to become available. Chapter 7 takes the analysis from this point in two complementary directions. The first is theoretical: what does the STAS case teach about the limits of the social-licence framework as it has developed in the international literature, and what conceptual revisions or extensions does the case suggest? The second is policy-oriented: what specific changes to the Namibian regulatory architecture, the procedural arrangements through which extractive projects are advanced, and the institutional infrastructure available to affected communities, would produce the conditions under which social licence could legitimately be sought? Chapter 8 then considers the strategic options available to the principal actors in the field as the procedural conditions stand at present, and notes the most consequential decisions the Cabinet, Parliament, the principal civil-society organisations, the proponent, and the affected communities themselves are likely to face in the period immediately ahead.</w:t>
      </w:r>
    </w:p>
    <w:p>
      <w:pPr>
        <w:spacing w:line="336" w:lineRule="auto" w:after="160"/>
        <w:jc w:val="both"/>
      </w:pPr>
      <w:r>
        <w:rPr>
          <w:i w:val="0"/>
          <w:sz w:val="23"/>
        </w:rPr>
        <w:t>The chapter ends, however, on a single observation. The structural absences this chapter has identified (the governing-party silence, the downstream-state silences, the local-institutional silences within the affected communities, the opposition-party and organised-labour silences, the structurally absent organised affirmative grassroots voice) are not absences of opinion. They are absences of voice. The actors named in the documented record have positions; the actors not named in the documented record have positions also. What is different is whether those positions are available to be engaged within the procedural architecture currently in use. The procedural architecture's failure to convert opinion into voice is, on the chapter's analysis, what the social-licence question in this case ultimately turns on. The structural conditions are the ground on which the architecture stands; the architecture is the apparatus through which voice would have to be produced; and the apparatus, on the documented Namibian evidence (NEWS, Pallett and Iipinge, 2024) and on the qualitative corpus the chapter has drawn on, is not currently producing voice on terms the affected community could recognise as their own. That is the chapter's central finding, and it is the finding Chapter 7 will now take up.</w:t>
      </w:r>
    </w:p>
    <w:p>
      <w:pPr>
        <w:spacing w:before="280" w:after="120"/>
      </w:pPr>
      <w:r>
        <w:rPr>
          <w:b/>
          <w:color w:val="1F3864"/>
          <w:sz w:val="24"/>
        </w:rPr>
        <w:t>End of Chapter 6</w:t>
      </w:r>
    </w:p>
    <w:p>
      <w:pPr>
        <w:spacing w:line="336" w:lineRule="auto" w:after="160"/>
        <w:jc w:val="both"/>
      </w:pPr>
      <w:r>
        <w:rPr>
          <w:i/>
          <w:color w:val="595959"/>
          <w:sz w:val="23"/>
        </w:rPr>
        <w:t>Chapter 6 word count target: thorough rather than minimal. The chapter has presented documented organisational positions (§6.2), the basin-wide EPL landscape (§6.2.7 with Figure 6.3), the structure of the state's split (§6.3), the architecture of community positions (§6.4 with Figure 6.1), individual informed-observer accounts (§6.5), structural absences (§6.6), and the synthesis (§6.7 with Figure 6.2).</w:t>
      </w:r>
    </w:p>
    <w:p>
      <w:r>
        <w:br w:type="page"/>
      </w:r>
    </w:p>
    <w:p>
      <w:pPr>
        <w:jc w:val="center"/>
      </w:pPr>
      <w:r>
        <w:rPr>
          <w:b/>
          <w:color w:val="595959"/>
          <w:sz w:val="26"/>
        </w:rPr>
        <w:t>CHAPTER 7</w:t>
      </w:r>
    </w:p>
    <w:p>
      <w:pPr>
        <w:jc w:val="center"/>
      </w:pPr>
      <w:r>
        <w:rPr>
          <w:b/>
          <w:color w:val="1F3864"/>
          <w:sz w:val="40"/>
        </w:rPr>
        <w:t>TOWARD A DEFENSIBLE SOCIAL LICENCE</w:t>
        <w:br/>
        <w:t>The regulatory-architectural conditions and the procedural-design gaps in the Namibian extractive-regulatory architecture</w:t>
      </w:r>
    </w:p>
    <w:p>
      <w:pPr>
        <w:jc w:val="center"/>
      </w:pPr>
      <w:r>
        <w:rPr>
          <w:i/>
          <w:color w:val="595959"/>
          <w:sz w:val="24"/>
        </w:rPr>
        <w:t>A regulatory-architectural critique of the Headspring Investments and Uranium One Group in-situ recovery uranium project in the Stampriet Transboundary Aquifer System (STAS)</w:t>
      </w:r>
    </w:p>
    <w:p/>
    <w:p/>
    <w:p>
      <w:pPr>
        <w:spacing w:before="280" w:after="120"/>
      </w:pPr>
      <w:r>
        <w:rPr>
          <w:b/>
          <w:color w:val="1F3864"/>
          <w:sz w:val="27"/>
        </w:rPr>
        <w:t>Chapter abstract</w:t>
      </w:r>
    </w:p>
    <w:p>
      <w:pPr>
        <w:spacing w:line="336" w:lineRule="auto" w:after="160"/>
        <w:jc w:val="both"/>
      </w:pPr>
      <w:r>
        <w:rPr>
          <w:i w:val="0"/>
          <w:sz w:val="23"/>
        </w:rPr>
        <w:t>Chapter 6 closed by specifying six procedural conditions under which a defensible social licence in the STAS case could be produced: a unified authoritative state voice, an independent international scientific review, formal transboundary consultation under the SADC Revised Protocol on Shared Watercourses, a binding liability regime extending across the basin-wide EPL landscape, a community-side institutional infrastructure with procedural standing in mineral-rights matters, and an information environment in which the proponent's and the documented opposition's accounts can be evaluated against shared evidentiary standards. Chapter 7 takes the six conditions as its analytic departure and interrogates the Namibian regulatory architecture's capacity to host them. The chapter establishes that the conditions are not equally amenable to the same kind of change: two are achievable through ministerial discretion within existing statute, one through diplomatic and intergovernmental convening, two through statutory amendment, and one through community-side institution-building. The differentiated feasibility is the substantive finding of §7.2. The chapter then identifies four structural gaps in the Namibian extractive-regulatory architecture that the STAS case exposes, gaps that affect any comparably configured project rather than the present case alone (§7.3); makes explicit the analytical scaffolding the chapter draws on from the social-licence and extractive-governance literatures (§7.4); examines the political economy of the four change-pathways in a reserved-analytic register (§7.5); identifies the openings the present study has not closed (§7.6); and closes with a focused analytic summation of the chapter's regulatory-architectural critique (§7.7). The report's closing rhetorical work is reserved for Chapter 8.</w:t>
      </w:r>
    </w:p>
    <w:p>
      <w:pPr>
        <w:spacing w:before="360" w:after="120"/>
      </w:pPr>
      <w:r>
        <w:rPr>
          <w:b/>
          <w:color w:val="1F3864"/>
          <w:sz w:val="32"/>
        </w:rPr>
        <w:t>7.1  Introduction: from positional architecture to regulatory-architectural critique</w:t>
      </w:r>
    </w:p>
    <w:p>
      <w:pPr>
        <w:spacing w:line="336" w:lineRule="auto" w:after="160"/>
        <w:jc w:val="both"/>
      </w:pPr>
      <w:r>
        <w:rPr>
          <w:i w:val="0"/>
          <w:sz w:val="23"/>
        </w:rPr>
        <w:t>Chapter 6's analytical work was completed at the level of the field. The chapter mapped what the documentary record contains, what the aggregated community-level evidence shows, what the individual informed-observer corpus contributes, and what the structural absences in the record mean for what kind of social licence the case is positioned to produce. The chapter's principal finding (that the licence on offer is licence by silence, licence by misrecognition, and licence by asymmetric scope rather than licence in the sense Boutilier's 2014 framework or Moffat and Zhang's 2014 procedural-fairness model would recognise) established the case's inability, in its present procedural configuration, to produce a licence that the affected community, the regulatory architecture, and the international scholarly literature would all treat as defensible. §6.7.6 specified the six conditions under which a defensible licence-producing process could, in principle, be developed. The chapter closed by signposting the question of whether those conditions are hostable in the Namibian regulatory architecture as it stands. That question is the point of departure for Chapter 7.</w:t>
      </w:r>
    </w:p>
    <w:p>
      <w:pPr>
        <w:spacing w:line="336" w:lineRule="auto" w:after="160"/>
        <w:jc w:val="both"/>
      </w:pPr>
      <w:r>
        <w:rPr>
          <w:i w:val="0"/>
          <w:sz w:val="23"/>
        </w:rPr>
        <w:t>The chapter operates in a single register throughout: regulatory-architectural critique. The chapter examines what the Namibian statute, the institutional architecture, and the recent regulatory practice provide; what the gap between provision and condition is; and what kind of change would be required to close the gap. The register is critical and analytical, not prescriptive. The chapter does not propose policy reform from a normative position external to the case. It identifies what would be required for the case to produce a defensible licence, locates that requirement in the architecture's present capacity, and characterises the change-pathway through which the gap could be closed. The chapter draws on an established scholarly literature for its analytical instruments (procedural fairness, recognition justice, regulatory-state architecture, transboundary-groundwater law). The §7.4 section makes the scaffolding explicit.</w:t>
      </w:r>
    </w:p>
    <w:p>
      <w:pPr>
        <w:spacing w:line="336" w:lineRule="auto" w:after="160"/>
        <w:jc w:val="both"/>
      </w:pPr>
      <w:r>
        <w:rPr>
          <w:i w:val="0"/>
          <w:sz w:val="23"/>
        </w:rPr>
        <w:t>The chapter's relationship to the report's overall architecture is best stated in three propositions. First, Chapter 7 is not a recommendations chapter. It is the chapter in which the case's analytical work (the structural conditions of legitimacy in Chapter 5, the architecture of positions in Chapter 6) is translated into a critical reading of the regulatory and procedural architecture against which those structural conditions and positions become operative. Second, Chapter 7 is not the report's conclusion. The report-closing rhetorical work (the consolidated account of what the report has found across all of its chapters, the synthesis for an educated general readership, the location of the case's significance at the Namibian-regulatory and transboundary-aquifer levels) is reserved for Chapter 8. Chapter 7's §7.7 close is an analytic close that consolidates the chapter's regulatory-architectural critique; the report-closing work follows in Chapter 8. Third, Chapter 7's substantive findings reach beyond the present case. The structural gaps §7.3 identifies and the change-pathway typology §7.2 develops are intended to be operative in cases of structurally comparable kinds: extractive-industry cases in the Namibian regulatory architecture, and transboundary-aquifer extractive cases in the Southern African Development Community (SADC) region in which the affected community lacks formal institutional vehicles through which to register a binding procedural position.</w:t>
      </w:r>
    </w:p>
    <w:p>
      <w:pPr>
        <w:spacing w:line="336" w:lineRule="auto" w:after="160"/>
        <w:jc w:val="both"/>
      </w:pPr>
      <w:r>
        <w:rPr>
          <w:i w:val="0"/>
          <w:sz w:val="23"/>
        </w:rPr>
        <w:t>The research question the chapter addresses is therefore two-limbed. Stated in the form in which it governs the chapter's structure: under the Namibian statutory, institutional, and political-economic configuration documented in this report, what would have to be in place (at the regulatory-architectural level, at the procedural-design level, and at the community-institutional level) for a social-licence question to be defensibly asked and answered in the STAS case; and what does the present configuration of the architecture itself reveal about the structural conditions under which such questions can be hosted in jurisdictions with comparable structural features? The first limb governs §§7.2 and 7.5; the second limb governs §7.3. §7.4 supplies the analytical scaffolding from which both limbs work; §7.6 identifies the limits of the present study; §7.7 closes the chapter analytically; Chapter 8 closes the report.</w:t>
      </w:r>
    </w:p>
    <w:p>
      <w:pPr>
        <w:spacing w:before="360" w:after="120"/>
      </w:pPr>
      <w:r>
        <w:rPr>
          <w:b/>
          <w:color w:val="1F3864"/>
          <w:sz w:val="32"/>
        </w:rPr>
        <w:t>7.2  The six conditions in their Namibian regulatory context</w:t>
      </w:r>
    </w:p>
    <w:p>
      <w:pPr>
        <w:spacing w:line="336" w:lineRule="auto" w:after="160"/>
        <w:jc w:val="both"/>
      </w:pPr>
      <w:r>
        <w:rPr>
          <w:i w:val="0"/>
          <w:sz w:val="23"/>
        </w:rPr>
        <w:t>This section examines each of the six §6.7.6 conditions against the relevant Namibian statute, institutional capacity, and recent regulatory practice. The structure adopted for each condition is consistent: the section identifies what the condition requires for a defensible licence-producing process; what the present Namibian architecture provides; what the gap between condition and provision is; and what kind of change (ministerial discretion within existing statute, diplomatic and intergovernmental convening, statutory amendment, or community-side institution-building) would close the gap. The section is the chapter's longest because it carries the analytical weight of the regulatory-architectural critique. The section closes with a typology of regulatory-change pathways which becomes Figure 7.1; that typology is the analytical instrument through which the differentiated feasibility of the six conditions is rendered. The structural-gaps argument that builds on the §7.2 findings (the argument that the gaps are not condition-specific but architecture-level) is reserved for §7.3.</w:t>
      </w:r>
    </w:p>
    <w:p>
      <w:pPr>
        <w:spacing w:before="280" w:after="120"/>
      </w:pPr>
      <w:r>
        <w:rPr>
          <w:b/>
          <w:color w:val="1F3864"/>
          <w:sz w:val="27"/>
        </w:rPr>
        <w:t>7.2.1  Condition 1: a unified authoritative state voice on the case</w:t>
      </w:r>
    </w:p>
    <w:p>
      <w:pPr>
        <w:spacing w:line="336" w:lineRule="auto" w:after="160"/>
        <w:jc w:val="both"/>
      </w:pPr>
      <w:r>
        <w:rPr>
          <w:i w:val="0"/>
          <w:sz w:val="23"/>
        </w:rPr>
        <w:t>What the condition requires is a single named state office whose decisions on the case bind the other ministries and whose engagement with the affected community produces commitments the state will not withdraw without disclosure of its reasons. The condition is not optional. As §6.3 established, the procedural-justice account of social licence (most fully developed in Moffat and Zhang, 2014, and Owen and Kemp, 2017) presupposes the existence of a state party whose role in the procedural relationship between project and host community is identifiable and stable. In its absence, the affected community has no procedural counterpart with whom to engage, and the regulatory architecture has no actor whose decisions can be held to account over time. The four overlapping state parties §6.3 documented (the Ministry of Mines and Energy maintaining the exclusive prospecting licences; the Office of the Environmental Commissioner running the active environmental clearance process; the Ministry of Agriculture, Water and Land Reform that withdrew the 2021 permits and has not issued replacement permits; and the Parliamentary Standing Committee on Natural Resources that has recommended the exploration be allowed to continue) together do not constitute a single state voice. They constitute four state voices whose positions cannot be reduced to one without executive intervention.</w:t>
      </w:r>
    </w:p>
    <w:p>
      <w:pPr>
        <w:spacing w:line="336" w:lineRule="auto" w:after="160"/>
        <w:jc w:val="both"/>
      </w:pPr>
      <w:r>
        <w:rPr>
          <w:i w:val="0"/>
          <w:sz w:val="23"/>
        </w:rPr>
        <w:t>What the Namibian architecture provides is, at the statutory level, a Cabinet that operates as the venue in which inter-ministerial disagreement on a matter of national significance is in principle resolved. The Public Service Act 13 of 1995 (Republic of Namibia, 1995) provides for the Cabinet's role in co-ordinating ministerial activity; the Cabinet Manual operates as the procedural instrument through which Cabinet resolutions are recorded and communicated. The Cabinet's recent 'decision based on science' formulation (The Namibian, 2026a) gestures toward a co-ordinating mechanism: the formulation positions a future independent scientific review as the basis on which the Cabinet would resolve the inter-ministerial disagreement and produce a single state position. The formulation has not, as at the time of writing, been put into effect. No Cabinet resolution naming the review body, specifying the review's terms of reference, or committing the relevant ministries to abide by its findings has been issued in the documentary record this study has examined.</w:t>
      </w:r>
    </w:p>
    <w:p>
      <w:pPr>
        <w:spacing w:line="336" w:lineRule="auto" w:after="160"/>
        <w:jc w:val="both"/>
      </w:pPr>
      <w:r>
        <w:rPr>
          <w:i w:val="0"/>
          <w:sz w:val="23"/>
        </w:rPr>
        <w:t>The gap is therefore not statutory but procedural. The statute provides for the resolution venue; the practice has not, on the documented record, occupied it. The change required to close the gap is, in the change-pathway typology this section develops, ministerial discretion within existing statute. The Cabinet can, in principle, resolve the disagreement at any point at which the executive determines it is politically necessary or analytically compelling to do so. The obstacles to the Cabinet's exercise of that discretion are political-economic rather than legal: §6.3 documented the executive's incentive structure for sustaining rather than resolving the inter-ministerial split. The split is politically functional in three respects which §6.3 sets out. It defers definitive commitment to either substantive position. It distributes accountability across the four overlapping state parties so that no single actor carries reputational exposure for the outcome. And it hedges against community backlash by preserving the appearance of substantive ministerial caution (MAWLR's 2021 permit withdrawal) alongside the operational continuation of the licensing regime (MME's maintenance of the EPLs). The condition's feasibility is therefore not technical but political. The architecture would host a unified state voice if the executive elected to produce one; the question Chapter 7 is required to ask is whether the configuration of advocacy, technical-authority, and parliamentary action documented in Chapter 6 is positioned to make that election politically necessary. That question belongs to §7.5.</w:t>
      </w:r>
    </w:p>
    <w:p>
      <w:pPr>
        <w:spacing w:before="280" w:after="120"/>
      </w:pPr>
      <w:r>
        <w:rPr>
          <w:b/>
          <w:color w:val="1F3864"/>
          <w:sz w:val="27"/>
        </w:rPr>
        <w:t>7.2.2  Condition 2: an independent international scientific review</w:t>
      </w:r>
    </w:p>
    <w:p>
      <w:pPr>
        <w:spacing w:line="336" w:lineRule="auto" w:after="160"/>
        <w:jc w:val="both"/>
      </w:pPr>
      <w:r>
        <w:rPr>
          <w:i w:val="0"/>
          <w:sz w:val="23"/>
        </w:rPr>
        <w:t>What the condition requires is a scientific review of the specific STAS conditions (the aquifer's drinking-water status, the transboundary hydrology, the Rietmond Member shale's confining role, the south-easterly groundwater flow direction, the Auob aquifer's higher natural alpha-beta activity), conducted by scientists from jurisdictions operating to international best practice, issuing findings that the proponent and the documented opposition would both be required to accept as the evidentiary basis for subsequent regulatory decisions. The condition was called for, in convergent form, by the Namibian Chamber of Environment (NCE, 2025), the International Groundwater Resources Assessment Centre (IGRAC, 2024), the Orange-Senqu River Commission (ORASECOM, 2024), Roy Miller (2022), and the Water Solutions Group panel led by Kuiri Tjipangandjara, and is consistent with the Cabinet's 'decision based on science' formulation. UNESCO and the Ministry of Agriculture, Water and Land Reform together moved toward such a review through the 23 July 2024 high-level stakeholder meeting (UNESCO, 2024). The review would not, in this specification, decide the licence question. It would decide the evidentiary question on which a licence question could subsequently be asked.</w:t>
      </w:r>
    </w:p>
    <w:p>
      <w:pPr>
        <w:spacing w:line="336" w:lineRule="auto" w:after="160"/>
        <w:jc w:val="both"/>
      </w:pPr>
      <w:r>
        <w:rPr>
          <w:i w:val="0"/>
          <w:sz w:val="23"/>
        </w:rPr>
        <w:t>What the Namibian architecture provides is a clearance process administered under the Environmental Management Act 7 of 2007 (Republic of Namibia, 2007) and its Environmental Impact Assessment Regulations (Republic of Namibia, 2012). The EMA permits the Office of the Environmental Commissioner to require independent peer review of proponent-commissioned EIA materials as a condition of environmental clearance; the Regulations specify the form of the assessment, the public-consultation requirements, and the criteria against which the Commissioner is to evaluate the clearance application. The Atomic Energy and Radiation Protection Act 5 of 2005 (Republic of Namibia, 2005) adds further review requirements specific to uranium operations. The architecture is, at the statutory level, capable of hosting an independent scientific review: the Commissioner has the discretion to require it, the relevant ministries have the discretion to convene it, and the Cabinet has the discretion to make its findings authoritative for subsequent decisions across the inter-ministerial field.</w:t>
      </w:r>
    </w:p>
    <w:p>
      <w:pPr>
        <w:spacing w:line="336" w:lineRule="auto" w:after="160"/>
        <w:jc w:val="both"/>
      </w:pPr>
      <w:r>
        <w:rPr>
          <w:i w:val="0"/>
          <w:sz w:val="23"/>
        </w:rPr>
        <w:t>The gap is, again, procedural rather than statutory. The architecture provides the discretion; the practice has not, on the documented record, operationalised it. Two additional considerations modify this characterisation. First, the international character of the review (scientists from Australian and United States jurisdictions operating to international best practice) is not provided for in the EMA or the EIA Regulations as a default feature of the clearance process. Standard practice involves Namibian-registered Environmental Assessment Practitioners, whose registration architecture is the subject of Condition 6. Operationalising an international review under the existing architecture would require either a ministerial directive to commission such a review specifically, or a Cabinet resolution committing to put the 'decision based on science' formulation into effect. Second, the review's binding authority over subsequent regulatory decisions across ministries is not, in current statute, a default consequence of an EIA peer review's findings. The binding authority would require a Cabinet resolution constituting the review's findings as the inter-ministerial position on the evidentiary question. The condition is therefore achievable through ministerial directive operating within existing statute, but it requires more than the routine exercise of clearance-process discretion; it requires deliberate political commitment to make the review's findings authoritative beyond the clearance process itself.</w:t>
      </w:r>
    </w:p>
    <w:p>
      <w:pPr>
        <w:spacing w:before="280" w:after="120"/>
      </w:pPr>
      <w:r>
        <w:rPr>
          <w:b/>
          <w:color w:val="1F3864"/>
          <w:sz w:val="27"/>
        </w:rPr>
        <w:t>7.2.3  Condition 3: formal transboundary consultation under the SADC Revised Protocol</w:t>
      </w:r>
    </w:p>
    <w:p>
      <w:pPr>
        <w:spacing w:line="336" w:lineRule="auto" w:after="160"/>
        <w:jc w:val="both"/>
      </w:pPr>
      <w:r>
        <w:rPr>
          <w:i w:val="0"/>
          <w:sz w:val="23"/>
        </w:rPr>
        <w:t>What the condition requires is formal transboundary consultation with Botswana and South Africa under the Revised Protocol on Shared Watercourses in the Southern African Development Community (SADC, 2000) and consistent with the obligations Eckstein (2017, pp. 132 to 148) and the International Law Commission's Draft Articles on the Law of Transboundary Aquifers (ILC, 2008) set out for transboundary groundwater. The condition's necessity follows from the hydrogeological fact that the Stampriet Transboundary Aquifer System extends across the borders of Namibia, Botswana, and South Africa; any contamination of the aquifer in Namibian territory would, on IGRAC's documented finding (IGRAC, 2024), be irreversible at human timescales and would affect downstream territories. The documented absences in §6.6.2 (the lack of Botswanan or South African state-level positions in the open record, the absence of documented bilateral or trilateral consultation, the limited engagement of ORASECOM beyond its 2024 position-statement) make the present procedural configuration internationally inadequate.</w:t>
      </w:r>
    </w:p>
    <w:p>
      <w:pPr>
        <w:spacing w:line="336" w:lineRule="auto" w:after="160"/>
        <w:jc w:val="both"/>
      </w:pPr>
      <w:r>
        <w:rPr>
          <w:i w:val="0"/>
          <w:sz w:val="23"/>
        </w:rPr>
        <w:t>What the architecture provides is, at the international-law level, a robust treaty framework. The SADC Revised Protocol imposes prior-notification and consultation obligations on a watercourse state proposing measures that may have a significant adverse effect on other watercourse states; the Protocol's Article 4(1)(a) requires the notifying state to provide other watercourse states with timely notification, supported by available technical data and information, of planned measures. Namibia is a party to the Protocol, and the Protocol is incorporated into Namibian law through Article 144 of the Namibian Constitution (Republic of Namibia, 1990), which renders international agreements binding on Namibia domestically operative. ORASECOM, established under the 2000 Orange-Senqu Agreement between Botswana, Lesotho, Namibia, and South Africa, operates as a standing intergovernmental commission with a mandate that includes transboundary-water matters in the basin's catchment. The ILC's 2008 Draft Articles on the Law of Transboundary Aquifers further specify the obligations of states sharing a transboundary aquifer, including the obligations to co-operate in the protection and preservation of the aquifer (Article 7) and to provide prior notification of planned activities that may affect the aquifer (Article 15). The architecture is internationally robust.</w:t>
      </w:r>
    </w:p>
    <w:p>
      <w:pPr>
        <w:spacing w:line="336" w:lineRule="auto" w:after="160"/>
        <w:jc w:val="both"/>
      </w:pPr>
      <w:r>
        <w:rPr>
          <w:i w:val="0"/>
          <w:sz w:val="23"/>
        </w:rPr>
        <w:t>The gap is operational. The architecture provides the obligation and the convening venue; the practice has not, on the documented record, operationalised either. No prior notification under the Revised Protocol's Article 4(1)(a) is in the public record. No ORASECOM-convened consultation on the Headspring or basin-wide uranium-exploration programme is documented. No Botswanan or South African state position on the case is in the open record. The change required to close the gap is, in the typology this section develops, diplomatic and intergovernmental convening within an architecture that statutory and treaty law already fully provide. The convening can be initiated by Namibia (through the Ministry of International Relations and Co-operation, or through MAWLR as the lead ministry on transboundary water), by Botswana or South Africa (through their respective ministries with the comparable lead), or by ORASECOM itself in the exercise of its commission's mandate. The architecture's hospitability to the condition is, at the treaty-law level, complete; the question is one of diplomatic and intergovernmental initiative.</w:t>
      </w:r>
    </w:p>
    <w:p>
      <w:pPr>
        <w:spacing w:before="280" w:after="120"/>
      </w:pPr>
      <w:r>
        <w:rPr>
          <w:b/>
          <w:color w:val="1F3864"/>
          <w:sz w:val="27"/>
        </w:rPr>
        <w:t>7.2.4  Condition 4: a binding liability regime extending across the basin-wide EPL landscape</w:t>
      </w:r>
    </w:p>
    <w:p>
      <w:pPr>
        <w:spacing w:line="336" w:lineRule="auto" w:after="160"/>
        <w:jc w:val="both"/>
      </w:pPr>
      <w:r>
        <w:rPr>
          <w:i w:val="0"/>
          <w:sz w:val="23"/>
        </w:rPr>
        <w:t>What the condition requires is a liability regime that would survive the proponent's withdrawal from the jurisdiction, that would extend across the basin-wide EPL landscape rather than across the Headspring component alone, and that would carry long-tail liability provisions consistent with the irreversibility of contamination on human timescales identified by IGRAC. The condition's necessity was raised by both the NCE (2025) and SAUMA (2023, 2024) and was strengthened in §6.7.4 against Kirsch's (2014) strategic-disaggregation argument and against the corporate-services-nexus findings drawn from the MME licence-contact register (MME, 2025). The condition is the §6.7.6 condition that has the strongest claim to be a structural rather than a procedural requirement: the licence the procedural architecture would produce, if it produced anything, would be a licence on the Headspring component, but the programme to which the affected communities would in fact be subject is much larger, and the corporate-services architecture through which it is administered is, in part, opaque to the open record.</w:t>
      </w:r>
    </w:p>
    <w:p>
      <w:pPr>
        <w:spacing w:line="336" w:lineRule="auto" w:after="160"/>
        <w:jc w:val="both"/>
      </w:pPr>
      <w:r>
        <w:rPr>
          <w:i w:val="0"/>
          <w:sz w:val="23"/>
        </w:rPr>
        <w:t>What the Namibian architecture provides is a liability regime operating principally through the Minerals (Prospecting and Mining) Act 33 of 1992 (Republic of Namibia, 1992) and the Environmental Management Act 7 of 2007. The Minerals Act specifies the licence-holder's obligations and provides for the transfer of licences between corporate entities; the EMA permits the Office of the Environmental Commissioner to require performance bonds as a condition of environmental clearance. Neither statute, however, provides for parent-company recourse in the corporate-veil-piercing sense, for long-tail liability provisions extending beyond the licensee's operational life, or for basin-wide liability arrangements that would cover the cumulative risk associated with multiple licence-holders operating across a single aquifer. The Minerals Act's beneficial-ownership transparency provisions are limited: the licence register records the licence-holder's Namibian corporate identity but does not require disclosure of ultimate beneficial ownership to standards comparable to those set by the EITI Standard 2023 (EITI, 2023).</w:t>
      </w:r>
    </w:p>
    <w:p>
      <w:pPr>
        <w:spacing w:line="336" w:lineRule="auto" w:after="160"/>
        <w:jc w:val="both"/>
      </w:pPr>
      <w:r>
        <w:rPr>
          <w:i w:val="0"/>
          <w:sz w:val="23"/>
        </w:rPr>
        <w:t>The gap is statutory rather than procedural, and is the most demanding of the six conditions to close. Three statutory amendments would be required. First, the Minerals Act 33 of 1992 would require amendment to introduce beneficial-ownership transparency provisions at the level of the EITI Standard 2023; Sharman's (2017) analysis of offshore corporate-services architecture and Le Billon's (2012) account of extractive-industry opacity both indicate the kind of disclosure standards such an amendment would require to be effective. Second, the EMA performance-bond architecture would require amendment to extend to long-tail liability provisions covering risks that may manifest decades after the licensee's operational withdrawal; the current architecture is calibrated to project-life risks rather than to geological-timescale risks. Third, the basin-wide character of the cumulative risk would require a new statutory instrument (most plausibly a basin-level extractive-liability framework administered under a co-ordinating ministry) providing for joint and several liability across licence-holders operating in a single hydrogeological unit. The change-pathway is therefore statutory amendment, and the political-economic obstacles are correspondingly substantial. The condition is the least achievable on short horizons of the six §6.7.6 conditions; the political economy of the change-pathway is examined in §7.5.</w:t>
      </w:r>
    </w:p>
    <w:p>
      <w:pPr>
        <w:spacing w:before="280" w:after="120"/>
      </w:pPr>
      <w:r>
        <w:rPr>
          <w:b/>
          <w:color w:val="1F3864"/>
          <w:sz w:val="27"/>
        </w:rPr>
        <w:t>7.2.5  Condition 5: a community-side institutional infrastructure with procedural standing</w:t>
      </w:r>
    </w:p>
    <w:p>
      <w:pPr>
        <w:spacing w:line="336" w:lineRule="auto" w:after="160"/>
        <w:jc w:val="both"/>
      </w:pPr>
      <w:r>
        <w:rPr>
          <w:i w:val="0"/>
          <w:sz w:val="23"/>
        </w:rPr>
        <w:t>What the condition requires is either a community-side institutional venue (a designated community-representation body for the affected basin) or a procedural mechanism whose outputs the documentary record would treat with equivalent weight to formal institutional position-taking. The condition's necessity was established in §6.6.3 against the documented finding that the affected communities currently lack the institutional infrastructure for registering a community-level position the documentary record would recognise as binding: the village councils have no statutory competence over mineral-rights matters; the traditional authorities are fragmented across the Aminuis and Leonardville communities; the regional councils are constituted under a statute that locates them at the level of regional administration rather than at the level of mineral-rights decision-making; the focus group is a research methodology rather than a procedural venue. International comparators for community-side institutional architecture in extractive cases are available in Hanna, Vanclay, Langdon, and Arts (2016) and Conde and Le Billon (2017), and the procedural-fairness formulation of the requirement is available in Whyte (2011) on the recognition dimensions of environmental justice.</w:t>
      </w:r>
    </w:p>
    <w:p>
      <w:pPr>
        <w:spacing w:line="336" w:lineRule="auto" w:after="160"/>
        <w:jc w:val="both"/>
      </w:pPr>
      <w:r>
        <w:rPr>
          <w:i w:val="0"/>
          <w:sz w:val="23"/>
        </w:rPr>
        <w:t>What the Namibian architecture provides at the statutory level is a layered local-government and traditional-authority architecture: the Regional Councils Act 22 of 1992 (Republic of Namibia, 1992) constitutes regional councils across the country's fourteen regions; the Local Authorities Act 23 of 1992 (Republic of Namibia, 1992) constitutes village and town councils within those regions; the Traditional Authorities Act 25 of 2000 (Republic of Namibia, 2000) recognises and gives statutory standing to traditional authorities. None of the three statutes locates the architectures it constitutes at the level of mineral-rights decision-making. The Minerals Act 33 of 1992 vests mineral-rights decisions in the Minister of Mines and Energy, with no formal procedural role for the regional council, the local authority, or the traditional authority in the territory affected. The architecture provides robust local-government and traditional-authority recognition; it does not provide a procedural venue for those institutions to register community-level positions in the mineral-rights process.</w:t>
      </w:r>
    </w:p>
    <w:p>
      <w:pPr>
        <w:spacing w:line="336" w:lineRule="auto" w:after="160"/>
        <w:jc w:val="both"/>
      </w:pPr>
      <w:r>
        <w:rPr>
          <w:i w:val="0"/>
          <w:sz w:val="23"/>
        </w:rPr>
        <w:t>The gap is therefore both statutory and design-level. Two change-pathways are available, neither of which is fully precedented in Namibian practice. The first is statutory amendment: the Minerals Act could be amended to require formal consultation with the regional council, the local authority, and the traditional authority in the territory in which a mineral-rights decision is to be made, and to provide for those institutions to register binding positions on the matter. The amendment would parallel similar provisions in extractive statutes elsewhere in the Southern African Development Community region. The second is community-side institution-building outside the statutory architecture: a designated community-representation body for the STAS basin, constituted on the model of the Hanna et al. (2016) and Conde and Le Billon (2017) comparators, whose outputs the documentary record would treat with weight equivalent to formal institutional position-taking. The second pathway is less politically demanding than the first but requires sustained civil-society and donor commitment over the institution-building period. The change-pathway is community-side institution-building in either form; the feasibility horizons are examined in §7.5.</w:t>
      </w:r>
    </w:p>
    <w:p>
      <w:pPr>
        <w:spacing w:before="280" w:after="120"/>
      </w:pPr>
      <w:r>
        <w:rPr>
          <w:b/>
          <w:color w:val="1F3864"/>
          <w:sz w:val="27"/>
        </w:rPr>
        <w:t>7.2.6  Condition 6: an information environment with shared evidentiary standards</w:t>
      </w:r>
    </w:p>
    <w:p>
      <w:pPr>
        <w:spacing w:line="336" w:lineRule="auto" w:after="160"/>
        <w:jc w:val="both"/>
      </w:pPr>
      <w:r>
        <w:rPr>
          <w:i w:val="0"/>
          <w:sz w:val="23"/>
        </w:rPr>
        <w:t>What the condition requires is an information environment in which the proponent's and the documented opposition's accounts can be evaluated by the affected community against shared evidentiary standards. §5.2 documented the present information environment as sparse and asymmetric; §6.5.3 documented the EIA architecture's underperformance through the Bezuidenhout account of the 2018 to 2019 consultations; the Pallett and Iipinge (2024) Namibian Environment and Wildlife Society documentary position established the architecture-level character of the under-performance through empirical Namibian evidence: only 28% of the 1,189 registered EIAs in the 15-month period to July 2024 were conducted by EAPAN-registered practitioners; statutory notifications were met through advertisements placed in obscure places; the Office of the Environmental Commissioner was documented as not inspecting projects or enforcing Environmental Management Plans; Background Information Documents were not produced or distributed at the rate the architecture requires. The condition is therefore not a project-specific requirement but a regulatory-design requirement.</w:t>
      </w:r>
    </w:p>
    <w:p>
      <w:pPr>
        <w:spacing w:line="336" w:lineRule="auto" w:after="160"/>
        <w:jc w:val="both"/>
      </w:pPr>
      <w:r>
        <w:rPr>
          <w:i w:val="0"/>
          <w:sz w:val="23"/>
        </w:rPr>
        <w:t>What the Namibian architecture provides is the Environmental Management Act 7 of 2007 and the Environmental Impact Assessment Regulations of 2012, which together specify the form of the EIA process, the consultation requirements, the post-clearance monitoring obligations, and the role of the Office of the Environmental Commissioner in administering the process. The Environmental Assessment Practitioners Association of Namibia (EAPAN) operates a registration scheme intended to ensure professional competence among EAPs, but its registration carries no statutory force: there is, at present, no Namibian legislation regulating EAP practice (see §2.4). The architecture is internationally consistent with EIA best practice at the design level. The Pallett and Iipinge (2024) finding is precisely that the architecture's design is sound but its operation is systemically underperforming: the design provides for EAPAN registration compliance, for statutory notification through appropriate channels, for inspection by the Office of the Environmental Commissioner, for production and distribution of Background Information Documents, and for enforcement of Environmental Management Plans, but the operational record documents systemic non-compliance across all five dimensions.</w:t>
      </w:r>
    </w:p>
    <w:p>
      <w:pPr>
        <w:spacing w:line="336" w:lineRule="auto" w:after="160"/>
        <w:jc w:val="both"/>
      </w:pPr>
      <w:r>
        <w:rPr>
          <w:i w:val="0"/>
          <w:sz w:val="23"/>
        </w:rPr>
        <w:t>The gap is regulatory-operational rather than statutory: the design is in place, the operation is not. Two change-pathways are required in combination. The first is regulatory amendment to the EIA Regulations themselves (strengthening the EAPAN registration compliance requirements, requiring statutory notification through channels demonstrably reaching the affected community, requiring production and distribution of Background Information Documents as a condition of the EAP's professional standing) to harden the architecture's design against the operational under-performance Pallett and Iipinge (2024) document. The second is operational capacity-building at the Office of the Environmental Commissioner: restoring inspection capacity, restoring enforcement capacity, restoring the Office's ability to refuse clearance certificates where the EIA process has not met the architecture's requirements. The first pathway is statutory amendment; the second is ministerial discretion exercised through budgetary and staffing decisions within the Ministry of Environment, Forestry and Tourism (MEFT). The condition therefore straddles two pathway categories (statutory amendment and ministerial discretion) and is one of the conditions whose feasibility depends on co-ordinated movement across them.</w:t>
      </w:r>
    </w:p>
    <w:p>
      <w:pPr>
        <w:spacing w:before="280" w:after="120"/>
      </w:pPr>
      <w:r>
        <w:rPr>
          <w:b/>
          <w:color w:val="1F3864"/>
          <w:sz w:val="27"/>
        </w:rPr>
        <w:t>7.2.7  A typology of regulatory-change pathways</w:t>
      </w:r>
    </w:p>
    <w:p>
      <w:pPr>
        <w:spacing w:line="336" w:lineRule="auto" w:after="160"/>
        <w:jc w:val="both"/>
      </w:pPr>
      <w:r>
        <w:rPr>
          <w:i w:val="0"/>
          <w:sz w:val="23"/>
        </w:rPr>
        <w:t>The six conditions just walked through fall, in their principal change-pathway, into four categories. Conditions 1 and 2 (a unified state voice and an independent international scientific review) are achievable through ministerial discretion within existing statute. The architecture provides the venue and the discretion; the practice has not occupied it. Condition 3 (transboundary consultation under the SADC Revised Protocol) is achievable through diplomatic and intergovernmental convening within a treaty and statutory architecture that already fully provide the obligation and the venue. Condition 4 (a binding basin-wide liability regime) requires statutory amendment of the Minerals Act, of the EMA performance-bond architecture, and of a new basin-level extractive-liability framework. Condition 5 (community-side institutional infrastructure with procedural standing) requires either statutory amendment of the Minerals Act or community-side institution-building outside the statutory architecture; in either form, the change-pathway is community-side institution-building. Condition 6 (an information environment with shared evidentiary standards) straddles two pathways: regulatory amendment of the EIA Regulations and ministerial-discretion-driven capacity-building at the Office of the Environmental Commissioner.</w:t>
      </w:r>
    </w:p>
    <w:p>
      <w:pPr>
        <w:spacing w:line="336" w:lineRule="auto" w:after="160"/>
        <w:jc w:val="both"/>
      </w:pPr>
      <w:r>
        <w:rPr>
          <w:i w:val="0"/>
          <w:sz w:val="23"/>
        </w:rPr>
        <w:t>The differentiated feasibility this typology renders is the substantive finding of §7.2. The six conditions are not equally demanding, not equally costly, and not equally placed on a single political-feasibility horizon. Conditions 1, 2, and 3 are achievable on short horizons (12 months or less) if the executive and the responsible ministries elect to put them into effect; their feasibility is political rather than technical. Conditions 5 and 6 are achievable on medium horizons (24 to 36 months) and require sustained co-ordinated action across ministries, civil society, and (in Condition 5's institution-building pathway) donor partners. Condition 4 is achievable only on longer horizons (typically a full parliamentary cycle or longer) because of the depth of the statutory amendment required and the political-economic interests aligned against it. The typology, with each condition mapped to its principal pathway and its political-feasibility horizon, is rendered in Figure 7.1.</w:t>
      </w:r>
    </w:p>
    <w:p>
      <w:pPr>
        <w:jc w:val="center"/>
      </w:pPr>
      <w:r>
        <w:drawing>
          <wp:inline xmlns:a="http://schemas.openxmlformats.org/drawingml/2006/main" xmlns:pic="http://schemas.openxmlformats.org/drawingml/2006/picture">
            <wp:extent cx="5669280" cy="3535495"/>
            <wp:docPr id="1" name="Picture 1"/>
            <wp:cNvGraphicFramePr>
              <a:graphicFrameLocks noChangeAspect="1"/>
            </wp:cNvGraphicFramePr>
            <a:graphic>
              <a:graphicData uri="http://schemas.openxmlformats.org/drawingml/2006/picture">
                <pic:pic>
                  <pic:nvPicPr>
                    <pic:cNvPr id="0" name="Figure_7_1_Feasibility_Matrix.png"/>
                    <pic:cNvPicPr/>
                  </pic:nvPicPr>
                  <pic:blipFill>
                    <a:blip r:embed="rId17"/>
                    <a:stretch>
                      <a:fillRect/>
                    </a:stretch>
                  </pic:blipFill>
                  <pic:spPr>
                    <a:xfrm>
                      <a:off x="0" y="0"/>
                      <a:ext cx="5669280" cy="3535495"/>
                    </a:xfrm>
                    <a:prstGeom prst="rect"/>
                  </pic:spPr>
                </pic:pic>
              </a:graphicData>
            </a:graphic>
          </wp:inline>
        </w:drawing>
      </w:r>
    </w:p>
    <w:p>
      <w:pPr>
        <w:spacing w:before="40" w:after="240"/>
        <w:jc w:val="center"/>
      </w:pPr>
      <w:r>
        <w:rPr>
          <w:i/>
          <w:color w:val="595959"/>
          <w:sz w:val="21"/>
        </w:rPr>
        <w:t>Figure 7.1. Feasibility matrix of the six §6.7.6 conditions against four regulatory-change pathways. Conditions are colour-coded by political-feasibility horizon. Short horizon (12 months or less): ministerial discretion within existing statute and intergovernmental convening. Medium horizon (24 to 36 months): community-side institution-building and regulatory amendment of operational instruments. Longer horizon (full parliamentary cycle or longer): deep statutory amendment of the Minerals Act and the basin-level liability framework. The typology supports the §7.3 argument that the four structural gaps the case exposes are concentrated at the longer-horizon end of the feasibility spectrum.</w:t>
      </w:r>
    </w:p>
    <w:p>
      <w:pPr>
        <w:spacing w:line="336" w:lineRule="auto" w:after="160"/>
        <w:jc w:val="both"/>
      </w:pPr>
      <w:r>
        <w:rPr>
          <w:i w:val="0"/>
          <w:sz w:val="23"/>
        </w:rPr>
        <w:t>Two implications of the typology frame the chapter's remaining sections. First, the differentiated feasibility means that the case is not, in regulatory-architectural terms, a case that requires comprehensive reform before any progress toward a defensible licence-producing process can be made. Conditions 1, 2, and 3 (the unified state voice, the independent scientific review, and the transboundary consultation) are achievable within the present statutory architecture. Their achievement would substantially alter the procedural configuration of the case and would address three of the six gaps §6.7.6 identified. Second, the deeper structural changes (basin-wide liability, community-side procedural standing, EIA-architecture overhaul) would close the gaps the case exposes at the architecture level rather than at the case-specific level. Those gaps are the subject of §7.3, where the argument that they are not condition-specific but structural (affecting any comparably configured project) is developed.</w:t>
      </w:r>
    </w:p>
    <w:p>
      <w:pPr>
        <w:spacing w:before="360" w:after="120"/>
      </w:pPr>
      <w:r>
        <w:rPr>
          <w:b/>
          <w:color w:val="1F3864"/>
          <w:sz w:val="32"/>
        </w:rPr>
        <w:t>7.3  The structural gaps in the Namibian extractive-regulatory architecture</w:t>
      </w:r>
    </w:p>
    <w:p>
      <w:pPr>
        <w:spacing w:line="336" w:lineRule="auto" w:after="160"/>
        <w:jc w:val="both"/>
      </w:pPr>
      <w:r>
        <w:rPr>
          <w:i w:val="0"/>
          <w:sz w:val="23"/>
        </w:rPr>
        <w:t>The §7.2 walkthrough was conducted condition by condition. Each condition was examined against the architecture's provision, the gap was characterised, and a change-pathway was identified. The section's analytical register was therefore case-bound: it asked what would be required for the STAS case specifically to produce a defensible licence-producing process. The present section moves the analysis to the architecture's level. The argument it develops is that the gaps the case exposes are not condition-specific but structural: properties of the Namibian extractive-regulatory architecture as it stands rather than properties of the STAS case's particular configuration. The gaps would affect any comparably configured extractive case in the jurisdiction. The STAS case is the one in which they become simultaneously visible because of the case's combination of transboundary geography, basin-wide programme architecture, structural fragmentation of state position, and pastoralist host community without formal procedural standing in mineral-rights matters. Four structural gaps are identifiable. The section examines each in turn, locates it against the relevant scholarly literature, and characterises the architectural level at which it operates. Figure 7.2 renders the gaps' connections to the §6.7.6 conditions and to the Chapter 5 structural conditions of legitimacy.</w:t>
      </w:r>
    </w:p>
    <w:p>
      <w:pPr>
        <w:spacing w:before="280" w:after="120"/>
      </w:pPr>
      <w:r>
        <w:rPr>
          <w:b/>
          <w:color w:val="1F3864"/>
          <w:sz w:val="27"/>
        </w:rPr>
        <w:t>7.3.1  Gap 1: the procedural absence of an inter-ministerial resolution venue</w:t>
      </w:r>
    </w:p>
    <w:p>
      <w:pPr>
        <w:spacing w:line="336" w:lineRule="auto" w:after="160"/>
        <w:jc w:val="both"/>
      </w:pPr>
      <w:r>
        <w:rPr>
          <w:i w:val="0"/>
          <w:sz w:val="23"/>
        </w:rPr>
        <w:t>The first structural gap is the absence, in operative form, of a procedural venue in which inter-ministerial disagreement on a mineral-rights matter is resolved in a way that produces an authoritative state position the affected community can engage. The Cabinet operates as such a venue in principle, and the Public Service Act 13 of 1995 (Republic of Namibia, 1995) provides the constitutional and administrative scaffolding for Cabinet decision-making. But the venue is, on the documented record of the STAS case and on the broader documented record of Namibian extractive cases over the past decade, infrequently occupied at the level the procedural-fairness account requires. Cabinet resolutions on inter-ministerial extractive matters are issued where the executive determines a position is politically necessary; in the STAS case, the executive's incentive structure has militated against, rather than toward, the production of such a position (§6.3). The gap is therefore not the absence of a venue but the absence of the operative practice of using it as a default procedural mechanism rather than as an exceptional executive intervention.</w:t>
      </w:r>
    </w:p>
    <w:p>
      <w:pPr>
        <w:spacing w:line="336" w:lineRule="auto" w:after="160"/>
        <w:jc w:val="both"/>
      </w:pPr>
      <w:r>
        <w:rPr>
          <w:i w:val="0"/>
          <w:sz w:val="23"/>
        </w:rPr>
        <w:t>The gap is structural in the sense Levi-Faur (2011, pp. 3 to 21) identifies in his account of regulatory-state architecture: where the resolution venue is statutorily present but procedurally optional, the executive's discretion over whether to occupy it becomes a structural property of the regulatory architecture itself, with consequences that extend well beyond the immediate case. The consequences are visible in the present case in two ways. First, the absence of an authoritative state position on the substantive merits of the project means that the affected community has no procedural counterpart with whom to engage on the question of consent. The procedural-fairness presupposition Moffat and Zhang (2014) identify as the precondition of social licence is unmet not because the architecture cannot produce a state position but because, in the absence of executive election, it does not. Second, the absence places extraordinary weight on the procedural counterparts that do speak (the Parliamentary Standing Committee on Natural Resources, the ministerial communications of MAWLR and MME) whose institutional standing is not equivalent to a unified executive position and whose communications, in consequence, carry differential procedural weight that the affected community cannot easily calibrate. The gap is structural because it is a property of the architecture's design: the architecture is designed to host an authoritative state position when the executive elects to produce one, not to require such a position where the substantive matter would warrant it. The case for treating this as a structural rather than incidental gap follows the Levi-Faur (2011) and Bebbington and Bury (2013) treatment of analogous architectures in other jurisdictions, where executive discretion over inter-ministerial resolution becomes the binding constraint on extractive-governance outcomes.</w:t>
      </w:r>
    </w:p>
    <w:p>
      <w:pPr>
        <w:spacing w:before="280" w:after="120"/>
      </w:pPr>
      <w:r>
        <w:rPr>
          <w:b/>
          <w:color w:val="1F3864"/>
          <w:sz w:val="27"/>
        </w:rPr>
        <w:t>7.3.2  Gap 2: the absence of beneficial-ownership transparency and basin-wide liability arrangements</w:t>
      </w:r>
    </w:p>
    <w:p>
      <w:pPr>
        <w:spacing w:line="336" w:lineRule="auto" w:after="160"/>
        <w:jc w:val="both"/>
      </w:pPr>
      <w:r>
        <w:rPr>
          <w:i w:val="0"/>
          <w:sz w:val="23"/>
        </w:rPr>
        <w:t>The second structural gap is the absence, in the Minerals Act 33 of 1992 and in the EMA performance-bond architecture, of beneficial-ownership transparency standards and basin-wide liability arrangements adequate to the corporate-services-nexus pattern §6.7.4 documented and to the cumulative-risk pattern that any basin-wide extractive programme implies. The Minerals Act records the licence-holder's Namibian corporate identity and provides for licence transfer between corporate entities; it does not require disclosure of ultimate beneficial ownership at standards comparable to the EITI Standard 2023 (EITI, 2023), and it does not constitute the basin as a unit for liability purposes. The EMA performance-bond architecture is calibrated to project-life risks and to the licence-holder's operational obligations, not to long-tail liability that may manifest at geological timescales (Eckstein, 2017, pp. 132 to 148) and not to cumulative liability across multiple licence-holders operating in a single hydrogeological unit.</w:t>
      </w:r>
    </w:p>
    <w:p>
      <w:pPr>
        <w:spacing w:line="336" w:lineRule="auto" w:after="160"/>
        <w:jc w:val="both"/>
      </w:pPr>
      <w:r>
        <w:rPr>
          <w:i w:val="0"/>
          <w:sz w:val="23"/>
        </w:rPr>
        <w:t>The gap is structural in two distinct senses. The first is the corporate-transparency sense Sharman (2017) develops in his account of offshore corporate-services architecture: where the register records the surface corporate identity but not the beneficial ownership, the disclosure standard becomes incommensurable with the scale of the cross-border corporate groupings that increasingly operate in extractive industries. Le Billon (2012, pp. 27 to 60) renders the same point in political-economy terms: extractive industries operate at scales of corporate organisation that statutory disclosure standards calibrated to single-licensee assumptions cannot capture. The STAS case demonstrates the operational consequence of the incommensurability: the 26 active and pending EPLs mapped in Figure 6.3 are held by separately-named Namibian corporate entities, but the corporate-services-nexus pattern at 19 Bodin Street, Unit 314 Freedom Plaza, and Arno Henker Haus suggests that the visible fragmentation of holdings overstates the fragmentation of underlying corporate organisation. The architecture's design does not permit this question to be resolved through the licence register itself; resolution would require beneficial-ownership disclosure at the EITI Standard level. The administrative-re-aggregation pattern §6.7.4 documents is the operational instance of this structural feature.</w:t>
      </w:r>
    </w:p>
    <w:p>
      <w:pPr>
        <w:spacing w:line="336" w:lineRule="auto" w:after="160"/>
        <w:jc w:val="both"/>
      </w:pPr>
      <w:r>
        <w:rPr>
          <w:i w:val="0"/>
          <w:sz w:val="23"/>
        </w:rPr>
        <w:t>The second sense in which the gap is structural is the basin-wide-liability sense developed in the transboundary-groundwater literature (ILC, 2008; Eckstein, 2017) and in the extractive-industry cumulative-impact literature (Bebbington and Bury, 2013; Watts, 2004). The unit of regulatory analysis in the Minerals Act and the EMA is the project: licence-holders operate projects, projects produce EIAs, EIAs are evaluated against project-specific impact criteria. The unit of hydrogeological reality in the STAS, however, is the basin: contamination from any one licence-holder's operations would affect the basin's groundwater as a whole, including the downstream-state portions covered by the SADC Revised Protocol and the ILC Draft Articles. The architecture's design produces regulatory scrutiny at a scale smaller than the scale at which the substantive risks operate. Closing the gap would require either a basin-level extractive-liability framework administered under a co-ordinating ministry (analogous to the river-basin management institutions established under the Water Resources Management Act 11 of 2013 but specifically constituted for mineral-rights liability) or a statutory amendment to the Minerals Act requiring joint and several liability across licence-holders operating in a single hydrogeological unit, on the model the United States CERCLA (Superfund) regime applies to groundwater-contamination liability across multiple responsible parties operating within a single hydrogeological unit. Either approach would be a structural change to the architecture's unit of regulatory analysis, not an adjustment within its present design.</w:t>
      </w:r>
    </w:p>
    <w:p>
      <w:pPr>
        <w:spacing w:before="280" w:after="120"/>
      </w:pPr>
      <w:r>
        <w:rPr>
          <w:b/>
          <w:color w:val="1F3864"/>
          <w:sz w:val="27"/>
        </w:rPr>
        <w:t>7.3.3  Gap 3: the absence of community-side procedural standing in mineral-rights matters</w:t>
      </w:r>
    </w:p>
    <w:p>
      <w:pPr>
        <w:spacing w:line="336" w:lineRule="auto" w:after="160"/>
        <w:jc w:val="both"/>
      </w:pPr>
      <w:r>
        <w:rPr>
          <w:i w:val="0"/>
          <w:sz w:val="23"/>
        </w:rPr>
        <w:t>The third structural gap is the absence, in the Minerals Act 33 of 1992 and in the relevant local-government and traditional-authority statutes, of community-side procedural standing in mineral-rights decisions. The Minerals Act vests mineral-rights decisions in the Minister of Mines and Energy, with the Environmental Commissioner's role limited to the environmental clearance question and the Parliamentary Standing Committee's role limited to oversight rather than to procedural standing. The Regional Councils Act 22 of 1992, the Local Authorities Act 23 of 1992 (Republic of Namibia, 1992), and the Traditional Authorities Act 25 of 2000 (Republic of Namibia, 2000) together constitute a robust local-government and traditional-authority architecture, but none of the three statutes locates the institutions it constitutes at the level of mineral-rights decision-making. The gap is therefore not the absence of community-level institutions; it is the absence of those institutions' standing in the procedural processes through which mineral-rights decisions are made.</w:t>
      </w:r>
    </w:p>
    <w:p>
      <w:pPr>
        <w:spacing w:line="336" w:lineRule="auto" w:after="160"/>
        <w:jc w:val="both"/>
      </w:pPr>
      <w:r>
        <w:rPr>
          <w:i w:val="0"/>
          <w:sz w:val="23"/>
        </w:rPr>
        <w:t>The gap is structural in the sense Whyte (2011, pp. 199 to 203) and Hanna, Vanclay, Langdon, and Arts (2016) develop in the recognition-justice literature: where procedural standing follows statutory designation and where the relevant statutes locate the affected community at the level of regional administration rather than at the level of mineral-rights decision-making, the affected community's institutional interlocutors cannot, in the procedural process the architecture constructs, register a position that the documentary record treats as binding. The recognition-justice claim Whyte (2011) develops is that procedural justice is a function of who is recognised as a procedural party, not only of how parties are treated within the procedure. The STAS case demonstrates the operational consequence: the §6.6.3 documented finding that village councils, traditional authorities, and regional councils have addressed the case through their statutorily-circumscribed competences (Council Chambers handling municipal services, traditional authorities navigating community-level pressures) is not a failure of those institutions but a function of the architecture they operate within. The affected community has, in mineral-rights matters, no statutorily recognised institutional voice.</w:t>
      </w:r>
    </w:p>
    <w:p>
      <w:pPr>
        <w:spacing w:line="336" w:lineRule="auto" w:after="160"/>
        <w:jc w:val="both"/>
      </w:pPr>
      <w:r>
        <w:rPr>
          <w:i w:val="0"/>
          <w:sz w:val="23"/>
        </w:rPr>
        <w:t>The structural character of the gap is reinforced by the comparative literature on community-side institutional architecture in extractive cases. Hanna et al. (2016) and Conde and Le Billon (2017) document examples from the Latin American, sub-Saharan African, and Asian-Pacific extractive-governance literatures in which similar gaps have been addressed through either statutory amendment (introducing formal community consultation as a precondition of licence issuance) or community-side institution-building (designated community-representation bodies operating outside the statutory architecture but with sufficient documentary standing that their outputs are treated as procedurally binding). The Namibian architecture is unusual in the SADC region in providing neither pathway as a default feature of its mineral-rights architecture; the gap is therefore structural in the comparative sense as well as in the recognition-justice sense.</w:t>
      </w:r>
    </w:p>
    <w:p>
      <w:pPr>
        <w:spacing w:before="280" w:after="120"/>
      </w:pPr>
      <w:r>
        <w:rPr>
          <w:b/>
          <w:color w:val="1F3864"/>
          <w:sz w:val="27"/>
        </w:rPr>
        <w:t>7.3.4  Gap 4: the design-level underperformance of the EIA architecture</w:t>
      </w:r>
    </w:p>
    <w:p>
      <w:pPr>
        <w:spacing w:line="336" w:lineRule="auto" w:after="160"/>
        <w:jc w:val="both"/>
      </w:pPr>
      <w:r>
        <w:rPr>
          <w:i w:val="0"/>
          <w:sz w:val="23"/>
        </w:rPr>
        <w:t>The fourth structural gap is the architecture-level underperformance of the EIA process documented by Pallett and Iipinge (2024) on behalf of the Namibian Environment and Wildlife Society. The empirical findings are direct: only 28% of the 1,189 registered EIAs in the 15-month period to July 2024 were conducted by EAPAN-registered practitioners; statutory notification requirements were met through advertisements placed in obscure publication locations; the Office of the Environmental Commissioner was documented as not inspecting projects or enforcing Environmental Management Plans; Background Information Documents were not produced or distributed at the rate the Regulations require; the documented refusal by Environmental Assessment Practitioners to provide Background Information Documents was characterised as a sectoral pattern. The findings cover the period in which the Headspring EIA process was active and bear directly on the STAS case, but they are not specific to it: they characterise the EIA architecture's operation across the Namibian regulatory field.</w:t>
      </w:r>
    </w:p>
    <w:p>
      <w:pPr>
        <w:spacing w:line="336" w:lineRule="auto" w:after="160"/>
        <w:jc w:val="both"/>
      </w:pPr>
      <w:r>
        <w:rPr>
          <w:i w:val="0"/>
          <w:sz w:val="23"/>
        </w:rPr>
        <w:t>The gap is structural in the regulatory-design sense developed in Bridge (2004, pp. 410 to 417) and Levi-Faur (2011, pp. 11 to 18). Bridge's account of mining-investment geographies in conditions of regulatory reform identifies a recurring pattern in which EIA architectures designed to international best practice at the statutory level fail to deliver the design-level performance their operating conditions assume. The Pallett and Iipinge (2024) findings instantiate the pattern precisely. The EIA Regulations of 2012 (Republic of Namibia, 2012) specify EAPAN registration compliance, statutory notification channels, Background Information Document production, consultation requirements, and post-clearance monitoring at standards consistent with the international literature; the operational record documents systemic non-compliance across all of these dimensions. The gap is therefore not the absence of regulatory design but the absence of operational performance against the design: a structural property of the architecture's implementation rather than of its specification. The deeper structural feature is that EAP practice is unregulated by Namibian statute (see §2.4); the EIA architecture's design presupposes professional standards the statute does not in fact impose.</w:t>
      </w:r>
    </w:p>
    <w:p>
      <w:pPr>
        <w:spacing w:line="336" w:lineRule="auto" w:after="160"/>
        <w:jc w:val="both"/>
      </w:pPr>
      <w:r>
        <w:rPr>
          <w:i w:val="0"/>
          <w:sz w:val="23"/>
        </w:rPr>
        <w:t>The structural character of the gap is reinforced by the operational-capacity argument Bebbington and Bury (2013, pp. 285 to 311) develop in their comparative analysis of EIA underperformance in Latin American extractive cases. They identify operational capacity at the regulator (staffing, budget, technical expertise, inspection mandate, enforcement power) as the structural variable that determines whether an EIA architecture's design-level provisions translate into operational performance. The Pallett and Iipinge (2024) finding that the Office of the Environmental Commissioner is documented as not inspecting projects or enforcing Environmental Management Plans is therefore not an account of bureaucratic failure but an account of the operational-capacity gap whose structural sources lie in budgetary, staffing, and political-support decisions taken across multiple ministries and parliamentary cycles. Closing the gap would require co-ordinated regulatory amendment of the EIA Regulations (strengthening the EAPAN-registration compliance requirements, specifying statutory notification channels demonstrably reaching the affected community, tightening Background Information Document production requirements) and ministerial-discretion-driven capacity-building at the Office of the Environmental Commissioner. The gap is structural because the operational under-performance the documented record establishes is the architecture's normal state of operation rather than an exceptional case-specific failure.</w:t>
      </w:r>
    </w:p>
    <w:p>
      <w:pPr>
        <w:spacing w:before="280" w:after="120"/>
      </w:pPr>
      <w:r>
        <w:rPr>
          <w:b/>
          <w:color w:val="1F3864"/>
          <w:sz w:val="27"/>
        </w:rPr>
        <w:t>7.3.5  The four gaps as an integrated structural feature of the architecture</w:t>
      </w:r>
    </w:p>
    <w:p>
      <w:pPr>
        <w:spacing w:line="336" w:lineRule="auto" w:after="160"/>
        <w:jc w:val="both"/>
      </w:pPr>
      <w:r>
        <w:rPr>
          <w:i w:val="0"/>
          <w:sz w:val="23"/>
        </w:rPr>
        <w:t>The four gaps are not independent. They cluster around three features of the Namibian extractive-regulatory architecture that the present case has documented from different angles. The first feature is the architecture's reliance on executive discretion as the principal procedural mechanism for resolving matters that comparable architectures resolve through default procedural rules. Gap 1 (the inter-ministerial resolution venue's procedural optionality) and Gap 4 (the EIA architecture's operational capacity at the Commissioner's Office) are both functions of this reliance. Where the architecture's design-level provisions can be operationalised or not according to executive election, the architecture carries a systematic risk of under-performance against its design. The second feature is the architecture's calibration to the project as the unit of regulatory analysis. Gap 2 (the absence of basin-wide liability) and Gap 3 (the absence of community-side procedural standing) are both functions of this calibration. Where the architecture's regulatory instruments operate at project scale, the architecture systematically underweights cumulative-impact, basin-wide, and community-institutional considerations that operate at larger scales. The third feature is the architecture's incomplete reception of the international regulatory-design consensus that has emerged in the two decades since the Minerals Act and the EMA were enacted. The EITI Standard 2023, the ILC Draft Articles on Transboundary Aquifers (2008), the FPIC doctrine (Whyte, 2011), and the recognition-justice scholarship (Schlosberg, 2007; Hanna et al., 2016) have together substantially altered the international benchmark for extractive-regulatory architectures of comparable jurisdictional standing; the Namibian architecture has not, on the documented evidence, fully incorporated these instruments and standards.</w:t>
      </w:r>
    </w:p>
    <w:p>
      <w:pPr>
        <w:spacing w:line="336" w:lineRule="auto" w:after="160"/>
        <w:jc w:val="both"/>
      </w:pPr>
      <w:r>
        <w:rPr>
          <w:i w:val="0"/>
          <w:sz w:val="23"/>
        </w:rPr>
        <w:t>Figure 7.2 renders the integration of the gaps. The four gaps are positioned at the centre of the diagram; the six §6.7.6 conditions are positioned on one side and the six Chapter 5 structural conditions of legitimacy on the other. The edges show which gaps bear on which conditions and which legitimacy conditions each gap engages. The figure carries the analytical claim that the gaps are integrative: closing one gap requires movement on others, and the architecture cannot be reformed piecemeal without leaving residual gaps in place. The political economy of the change-pathways (§7.5) must be examined against the integrated rather than the individuated structural-gap picture; the architecture's reform horizon is a function of the whole rather than of any single gap or condition.</w:t>
      </w:r>
    </w:p>
    <w:p>
      <w:pPr>
        <w:jc w:val="center"/>
      </w:pPr>
      <w:r>
        <w:drawing>
          <wp:inline xmlns:a="http://schemas.openxmlformats.org/drawingml/2006/main" xmlns:pic="http://schemas.openxmlformats.org/drawingml/2006/picture">
            <wp:extent cx="5669280" cy="3083717"/>
            <wp:docPr id="2" name="Picture 2"/>
            <wp:cNvGraphicFramePr>
              <a:graphicFrameLocks noChangeAspect="1"/>
            </wp:cNvGraphicFramePr>
            <a:graphic>
              <a:graphicData uri="http://schemas.openxmlformats.org/drawingml/2006/picture">
                <pic:pic>
                  <pic:nvPicPr>
                    <pic:cNvPr id="0" name="Figure_7_2_Structural_Gaps.png"/>
                    <pic:cNvPicPr/>
                  </pic:nvPicPr>
                  <pic:blipFill>
                    <a:blip r:embed="rId18"/>
                    <a:stretch>
                      <a:fillRect/>
                    </a:stretch>
                  </pic:blipFill>
                  <pic:spPr>
                    <a:xfrm>
                      <a:off x="0" y="0"/>
                      <a:ext cx="5669280" cy="3083717"/>
                    </a:xfrm>
                    <a:prstGeom prst="rect"/>
                  </pic:spPr>
                </pic:pic>
              </a:graphicData>
            </a:graphic>
          </wp:inline>
        </w:drawing>
      </w:r>
    </w:p>
    <w:p>
      <w:pPr>
        <w:spacing w:before="40" w:after="240"/>
        <w:jc w:val="center"/>
      </w:pPr>
      <w:r>
        <w:rPr>
          <w:i/>
          <w:color w:val="595959"/>
          <w:sz w:val="21"/>
        </w:rPr>
        <w:t>Figure 7.2. Structural gaps in the Namibian extractive-regulatory architecture: the four gaps mapped against the §6.7.6 conditions and the Chapter 5 structural conditions of legitimacy. The diagram shows that the gaps are integrative (each gap engages multiple conditions on both sides) and that piecemeal closure of any single gap would leave the architecture's structural features substantially intact. The three clustering features (reliance on executive discretion; project-scale regulatory analysis; incomplete reception of international regulatory-design consensus) are the architecture-level findings that the case's analysis is positioned to address.</w:t>
      </w:r>
    </w:p>
    <w:p>
      <w:pPr>
        <w:spacing w:before="360" w:after="120"/>
      </w:pPr>
      <w:r>
        <w:rPr>
          <w:b/>
          <w:color w:val="1F3864"/>
          <w:sz w:val="32"/>
        </w:rPr>
        <w:t>7.4  Analytical scaffolding from the social-licence literature</w:t>
      </w:r>
    </w:p>
    <w:p>
      <w:pPr>
        <w:spacing w:line="336" w:lineRule="auto" w:after="160"/>
        <w:jc w:val="both"/>
      </w:pPr>
      <w:r>
        <w:rPr>
          <w:i w:val="0"/>
          <w:sz w:val="23"/>
        </w:rPr>
        <w:t>The regulatory-architectural critique of §§7.2 and 7.3 has been conducted using analytical instruments drawn from an established scholarly literature. Before §7.5 turns to the political economy of the reform horizon, the present short section makes explicit which instruments have been most operative, and where they have been drawn from. The aim is to identify the scaffolding the case rests on, so that the regulatory critique can be read against the scholarly tradition it is informed by.</w:t>
      </w:r>
    </w:p>
    <w:p>
      <w:pPr>
        <w:spacing w:line="336" w:lineRule="auto" w:after="160"/>
        <w:jc w:val="both"/>
      </w:pPr>
      <w:r>
        <w:rPr>
          <w:i w:val="0"/>
          <w:sz w:val="23"/>
        </w:rPr>
        <w:t>Four bodies of scholarship have carried the principal weight. The procedural-fairness account of social licence (Moffat and Zhang, 2014; Owen and Kemp, 2013, 2017) has supplied the framework against which §7.2's six-condition walkthrough has been conducted: the conditions a defensible licence-producing process would require are, on the procedural-fairness account, conditions of the procedure rather than of its outcome, and §7.2's analysis is an examination of whether the procedural architecture can host those conditions. The recognition-justice tradition (Schlosberg, 2007; Whyte, 2011; Hanna, Vanclay, Langdon, and Arts, 2016; Ehrnström-Fuentes, 2016) has supplied the framework against which §6.4's typology of community positions and §6.6's structural-absence findings have been organised: where procedural standing follows statutory designation and where the relevant statutes do not locate the affected community at the level the substantive matter requires, recognition-justice instruments render the configuration analytically tractable. Boutilier's (2014) four-level licence pyramid (withholding/withdrawal, acceptance, approval, identification) has supplied the framework against which §6.7's licence-on-offer analysis was conducted.</w:t>
      </w:r>
    </w:p>
    <w:p>
      <w:pPr>
        <w:spacing w:line="336" w:lineRule="auto" w:after="160"/>
        <w:jc w:val="both"/>
      </w:pPr>
      <w:r>
        <w:rPr>
          <w:i w:val="0"/>
          <w:sz w:val="23"/>
        </w:rPr>
        <w:t>The extractive-governance and regulatory-design literature has supplied the framework against which §7.3's structural-gaps argument has been conducted. Levi-Faur (2011) on regulatory-state fragmentation has informed the inter-ministerial-resolution-venue argument (Gap 1). Bebbington and Bury (2013), Bridge (2004), and Watts (2004) on extractive-governance failures in comparative perspective have informed the EIA-architecture-underperformance argument (Gap 4) and the analysis of operational capacity at the Office of the Environmental Commissioner. Kirsch (2014) on strategic disaggregation has informed the basin-wide liability argument (Gap 2) and the §6.7.4 analysis of how the visible fragmentation of the basin-wide programme operates at scales smaller than the substantive risk. Le Billon (2012) and Sharman (2017) on extractive-industry opacity and offshore corporate-services architecture have informed the beneficial-ownership transparency analysis and the corporate-services-nexus finding at §6.7.4. The transboundary-groundwater law literature (Eckstein, 2017; International Law Commission, 2008; SADC, 2000) has supplied the framework against which §7.2.3 has been conducted on Condition 3 (transboundary consultation) and against which Gap 2 has been positioned at the basin-wide-liability level.</w:t>
      </w:r>
    </w:p>
    <w:p>
      <w:pPr>
        <w:spacing w:line="336" w:lineRule="auto" w:after="160"/>
        <w:jc w:val="both"/>
      </w:pPr>
      <w:r>
        <w:rPr>
          <w:i w:val="0"/>
          <w:sz w:val="23"/>
        </w:rPr>
        <w:t>The case's own analytical moves (the four-channel evidentiary discipline through which Chapter 6 has been conducted, the four-overlapping-state-parties observation that §6.3 documents, the corporate-services-nexus finding that §6.7.4 develops, and the characterisation of the licence on offer as licence by silence, by misrecognition, and by asymmetric scope at §6.7) operate within the scaffolding the present section has identified. Within the report, their function is analytical instrumentation of the regulatory-architectural critique that §7.5 now turns to.</w:t>
      </w:r>
    </w:p>
    <w:p>
      <w:pPr>
        <w:spacing w:before="360" w:after="120"/>
      </w:pPr>
      <w:r>
        <w:rPr>
          <w:b/>
          <w:color w:val="1F3864"/>
          <w:sz w:val="32"/>
        </w:rPr>
        <w:t>7.5  The reform horizon and its political economy</w:t>
      </w:r>
    </w:p>
    <w:p>
      <w:pPr>
        <w:spacing w:line="336" w:lineRule="auto" w:after="160"/>
        <w:jc w:val="both"/>
      </w:pPr>
      <w:r>
        <w:rPr>
          <w:i w:val="0"/>
          <w:sz w:val="23"/>
        </w:rPr>
        <w:t>The four change-pathways §7.2 identified and §7.3 located at the architecture's level have, each of them, a political economy that determines the realistic horizon over which they may be advanced. The present section examines each pathway in turn against three questions: who would gain and who would lose if the pathway were taken; which actors are at the time of writing positioned to advance it; and what configurations of advocacy, technical-authority, parliamentary, and ministerial action would be required for advance to be plausible on the relevant horizon. The section's register is reserved-analytic. It identifies pathways, actors, and horizons. It does not prescribe outcomes, does not take a position on which configuration the case most plausibly supports, and does not advance the chapter into a recommendations register. The analytical reserve is deliberate. Chapter 6 documented the field of contestation; §§7.2 and 7.3 characterised the architecture against which the field operates; the question of which configuration of actors should advance which pathway is, on the case's documented configuration, a question for actors positioned within the field to make rather than a question the present report is positioned to answer.</w:t>
      </w:r>
    </w:p>
    <w:p>
      <w:pPr>
        <w:spacing w:before="280" w:after="120"/>
      </w:pPr>
      <w:r>
        <w:rPr>
          <w:b/>
          <w:color w:val="1F3864"/>
          <w:sz w:val="27"/>
        </w:rPr>
        <w:t>7.5.1  Pathway 1: ministerial discretion within existing statute (Conditions 1, 2; partially 6)</w:t>
      </w:r>
    </w:p>
    <w:p>
      <w:pPr>
        <w:spacing w:line="336" w:lineRule="auto" w:after="160"/>
        <w:jc w:val="both"/>
      </w:pPr>
      <w:r>
        <w:rPr>
          <w:i w:val="0"/>
          <w:sz w:val="23"/>
        </w:rPr>
        <w:t>The ministerial-discretion pathway is the most readily advanced of the four in technical terms. The architecture provides; the practice has not occupied it. The pathway would, on the §7.2 walkthrough, address Condition 1 (a unified state voice) through Cabinet resolution, Condition 2 (an independent international scientific review) through ministerial directive within EMA and EIA Regulations discretion, and parts of Condition 6 (the information environment) through ministerial-discretion-driven capacity-building at the Office of the Environmental Commissioner. The distributional consequences are uneven. The affected community would gain a state interlocutor whose engagement can be held to account and an evidentiary basis on which consent questions can be subsequently asked. The documented opposition (SAUMA, NCE, the Namibia Agricultural Union (NAU), the Republican Party (RP), ORASECOM, IGRAC, Miller, Tjipangandjara) would gain a procedural counterpart on the state side whose engagement they can register against. The proponent and the industry would, on the documented record, experience the pathway as a procedural cost: the unified state voice would substitute a single position to be negotiated for a configuration in which the regulatory uncertainty has, on the present configuration, deferred definitive resolution. The ministerial actors most positioned to advance the pathway are MAWLR (whose 2021 permit withdrawal established a substantive ministerial position from which the Cabinet could work), MEFT through the Office of the Environmental Commissioner (whose clearance discretion is the operational instrument of Condition 2), and the Cabinet itself as the resolution venue.</w:t>
      </w:r>
    </w:p>
    <w:p>
      <w:pPr>
        <w:spacing w:line="336" w:lineRule="auto" w:after="160"/>
        <w:jc w:val="both"/>
      </w:pPr>
      <w:r>
        <w:rPr>
          <w:i w:val="0"/>
          <w:sz w:val="23"/>
        </w:rPr>
        <w:t>The configuration of advocacy and technical-authority action the pathway would require is one in which the documented opposition's scientific case (NCE 2025; Miller 2022; IGRAC 2024; ORASECOM 2024), the Cabinet's 'decision based on science' formulation (The Namibian, 2026a), and a credible convening venue for the international review (UNESCO 2024 established the precedent) converge on a co-ordinated public-facing position that makes Cabinet inaction politically more costly than Cabinet resolution. The pathway's experience to date suggests that the convergence has been partial. The UNESCO 2024 meeting advanced the convening expectation; the Standing Committee's 2025 recommendation favours continuation of exploration; the Cabinet's 'decision based on science' formulation has, at the time of writing, neither been put into effect nor retracted. The horizon for the pathway is short in the technical sense (12 months or less) and medium in the political sense (the configuration of advocacy and ministerial alignment that would make Cabinet election politically necessary is not, on the present evidence, in place but is not inconceivable on a 12 to 18 month horizon).</w:t>
      </w:r>
    </w:p>
    <w:p>
      <w:pPr>
        <w:spacing w:before="280" w:after="120"/>
      </w:pPr>
      <w:r>
        <w:rPr>
          <w:b/>
          <w:color w:val="1F3864"/>
          <w:sz w:val="27"/>
        </w:rPr>
        <w:t>7.5.2  Pathway 2: diplomatic and intergovernmental convening (Condition 3)</w:t>
      </w:r>
    </w:p>
    <w:p>
      <w:pPr>
        <w:spacing w:line="336" w:lineRule="auto" w:after="160"/>
        <w:jc w:val="both"/>
      </w:pPr>
      <w:r>
        <w:rPr>
          <w:i w:val="0"/>
          <w:sz w:val="23"/>
        </w:rPr>
        <w:t>The intergovernmental-convening pathway is the most internationally robust and the least developed in the present case. The architecture (SADC Revised Protocol; ILC Draft Articles; ORASECOM) provides the treaty framework and the convening venue; the practice has not, on the documented record, operationalised either. The pathway would address Condition 3 (transboundary consultation) directly and would have indirect effects on Conditions 1 and 2 (a transboundary convening process would create external procedural expectations on the Namibian state that the Cabinet may find easier to meet than to evade). The distributional consequences are asymmetric. Botswana and South Africa, as downstream-state parties whose territorial groundwater is exposed to the Namibian operations, would gain procedural standing they currently lack in the open record. The affected community in Namibia would gain an external procedural amplification through the intergovernmental conversation. The Namibian state would experience the pathway as a procedural cost in the short term (international engagement creates accountability constraints the present configuration avoids) and as a procedural gain in the medium term (a multilaterally-defined evidentiary basis becomes more politically durable than a unilaterally-defined one). The proponent would, on the documented record, experience the pathway as a substantive procedural cost: transboundary review subjects the project to evidentiary standards that the present unilateral architecture does not impose.</w:t>
      </w:r>
    </w:p>
    <w:p>
      <w:pPr>
        <w:spacing w:line="336" w:lineRule="auto" w:after="160"/>
        <w:jc w:val="both"/>
      </w:pPr>
      <w:r>
        <w:rPr>
          <w:i w:val="0"/>
          <w:sz w:val="23"/>
        </w:rPr>
        <w:t>The actors positioned to advance the pathway are the Ministry of International Relations and Co-operation (with foreign-policy lead), MAWLR (with the transboundary-water lead), and ORASECOM (with its standing intergovernmental mandate). Downstream-state actors are positioned to initiate the pathway from their own jurisdictions: Botswana's Ministry of Mineral Resources, Green Technology and Energy Security and its Department of Water and Sanitation; South Africa's Department of Water and Sanitation. The pathway's experience to date suggests that the convening expectation has been minimally activated. ORASECOM has issued a position (§6.2.5); Botswana and South Africa have not produced state-level positions in the open record; no formal prior notification under SADC Article 4(1)(a) is documented. The horizon for the pathway is short in the treaty-law sense but is constrained by the political requirement that at least one of the three state parties (Namibia, Botswana, or South Africa) elect to activate the convening mechanism. The configuration most likely to produce that election, on the comparative experience of transboundary-water cases in the SADC region, is one in which a coalition of downstream-state scientific authorities, regional intergovernmental bodies (ORASECOM, the SADC Groundwater Management Institute), and international scientific bodies (UNESCO, IAEA) advance a co-ordinated technical position that the diplomatic ministries find easier to accommodate than to resist.</w:t>
      </w:r>
    </w:p>
    <w:p>
      <w:pPr>
        <w:spacing w:before="280" w:after="120"/>
      </w:pPr>
      <w:r>
        <w:rPr>
          <w:b/>
          <w:color w:val="1F3864"/>
          <w:sz w:val="27"/>
        </w:rPr>
        <w:t>7.5.3  Pathway 3: statutory amendment (Conditions 4, 6; partially 5)</w:t>
      </w:r>
    </w:p>
    <w:p>
      <w:pPr>
        <w:spacing w:line="336" w:lineRule="auto" w:after="160"/>
        <w:jc w:val="both"/>
      </w:pPr>
      <w:r>
        <w:rPr>
          <w:i w:val="0"/>
          <w:sz w:val="23"/>
        </w:rPr>
        <w:t>The statutory-amendment pathway is the most demanding of the four in political-economic terms. The architecture would require amendment of the Minerals (Prospecting and Mining) Act 33 of 1992 (beneficial-ownership transparency; joint and several basin-wide liability), the Environmental Management Act 7 of 2007 and its Regulations of 2012 (EIA-architecture operational requirements; capacity provisions at the Commissioner's Office), and possibly the introduction of new statutory instruments for basin-level liability and for community-side consultation requirements in mineral-rights matters. The distributional consequences are the most concentrated of the four pathways. The affected community, the downstream-state communities, and the documented opposition would gain substantively from each amendment. The extractive industry (not only Headspring and the Uranium One and Rosatom corporate group, but the wider extractive sector in Namibia represented by the Namibian Uranium Association, the Chamber of Mines, and the comparable industry bodies) would experience the amendments as substantial procedural and regulatory costs. The political-economy literature on extractive-statute amendment in jurisdictions of structurally comparable kinds (Bebbington and Bury, 2013; Watts, 2004; Bridge, 2004) documents the recurring pattern of industry opposition and the consequent dependence on sustained advocacy, technical-authority, and political-coalition action over multiple parliamentary cycles.</w:t>
      </w:r>
    </w:p>
    <w:p>
      <w:pPr>
        <w:spacing w:line="336" w:lineRule="auto" w:after="160"/>
        <w:jc w:val="both"/>
      </w:pPr>
      <w:r>
        <w:rPr>
          <w:i w:val="0"/>
          <w:sz w:val="23"/>
        </w:rPr>
        <w:t>The actors positioned to advance the pathway are parliamentary (through opposition parties' private members' bills, through majority-party caucus deliberation, through the Standing Committee on Natural Resources' procedural standing), ministerial (through executive sponsorship of statutory-amendment bills), and civil-society (through sustained documentation, advocacy, and technical-authority engagement). The pathway's experience to date suggests that the configuration is not in place at any of the three levels. Parliamentary action on extractive-statute amendment of the depth required has not, on the documented record, been initiated; the Standing Committee's 2025 recommendation favours continuation of exploration rather than statutory amendment. Ministerial sponsorship would require an executive decision the political-economy considerations outlined in §6.3 indicate is unlikely on the short horizon. Civil-society documentation has been substantial (NCE 2025; Pallett and Iipinge 2024; SAUMA 2023, 2024) but has not, on the documented record, translated into the kind of cross-sectoral statute-amendment coalition that the comparative experience suggests is required. The horizon for the pathway is, in consequence, the longest of the four (a full parliamentary cycle or longer) and its advance depends on coalition formation across constituencies that the present configuration of the field has not assembled.</w:t>
      </w:r>
    </w:p>
    <w:p>
      <w:pPr>
        <w:spacing w:before="280" w:after="120"/>
      </w:pPr>
      <w:r>
        <w:rPr>
          <w:b/>
          <w:color w:val="1F3864"/>
          <w:sz w:val="27"/>
        </w:rPr>
        <w:t>7.5.4  Pathway 4: community-side institution-building (Condition 5)</w:t>
      </w:r>
    </w:p>
    <w:p>
      <w:pPr>
        <w:spacing w:line="336" w:lineRule="auto" w:after="160"/>
        <w:jc w:val="both"/>
      </w:pPr>
      <w:r>
        <w:rPr>
          <w:i w:val="0"/>
          <w:sz w:val="23"/>
        </w:rPr>
        <w:t>The community-side institution-building pathway is the most operationally distinctive of the four. The pathway operates, in its principal form, outside the statutory architecture: the relevant change is the construction of a community-representation institution for the affected basin whose outputs the documentary record would treat with weight equivalent to formal institutional position-taking. The international comparators (Hanna et al., 2016; Conde and Le Billon, 2017) document a range of operational forms (designated basin-community councils, indigenous-rights advisory bodies, civil-society-convened community-representation platforms), each calibrated to its host jurisdiction's institutional landscape. The distributional consequences differ from the other three pathways in one respect: the pathway constructs rather than reforms a procedural party. The affected community gains an institutional vehicle the architecture does not currently provide; the documented opposition gains a community-side interlocutor with whom they can engage in their advocacy capacity rather than on behalf of; the state and the proponent gain a procedural counterpart whose engagement can be directly recorded rather than mediated through civil-society allies.</w:t>
      </w:r>
    </w:p>
    <w:p>
      <w:pPr>
        <w:spacing w:line="336" w:lineRule="auto" w:after="160"/>
        <w:jc w:val="both"/>
      </w:pPr>
      <w:r>
        <w:rPr>
          <w:i w:val="0"/>
          <w:sz w:val="23"/>
        </w:rPr>
        <w:t>The actors positioned to advance the pathway are civil society (SAUMA, the NCE, the Legal Assistance Centre (LAC), the Environmental Compliance Consultancy (ECC), the NAU through its regional structures), the affected community itself (the Aminuis and Leonardville Village Councils and traditional authorities in their non-statutory capacity), and the donor and partner organisations that have supported comparable institution-building projects elsewhere in the SADC region. The pathway's experience to date suggests that the institution-building work has not begun in operative form. The focus-group and Village Council corpus this study has assembled is a methodological precursor to community-representation institution-building but is not itself institution-building. The horizon for the pathway is medium (24 to 36 months) for institution formation and longer (3 to 5 years) for the institution to develop the documented standing that procedural recognition requires. The pathway's advance depends, on the comparative experience, on sustained civil-society and donor commitment over the institution-building period, on community-level leadership development, and on the institution's ability to establish documented standing through repeated procedural engagement with the field's other actors. None of the three is, on the present documented record, currently in place at the operative level.</w:t>
      </w:r>
    </w:p>
    <w:p>
      <w:pPr>
        <w:spacing w:before="280" w:after="120"/>
      </w:pPr>
      <w:r>
        <w:rPr>
          <w:b/>
          <w:color w:val="1F3864"/>
          <w:sz w:val="27"/>
        </w:rPr>
        <w:t>7.5.5  Reading across the four pathways</w:t>
      </w:r>
    </w:p>
    <w:p>
      <w:pPr>
        <w:spacing w:line="336" w:lineRule="auto" w:after="160"/>
        <w:jc w:val="both"/>
      </w:pPr>
      <w:r>
        <w:rPr>
          <w:i w:val="0"/>
          <w:sz w:val="23"/>
        </w:rPr>
        <w:t>Three observations follow from reading across the four pathways. First, the pathways are not independent. The ministerial-discretion pathway's operationalisation would alter the political configuration in which the statutory-amendment pathway operates. The intergovernmental-convening pathway's activation would alter the international configuration in which both the ministerial-discretion and the statutory-amendment pathways operate. The community-side institution-building pathway's success would alter the constituency configuration in which all three of the other pathways are advanced. The pathways are an integrated reform system, not four parallel options. Second, the pathways' horizons are uneven, and the unevenness is itself a feature of the system's dynamics. The short-horizon pathways (ministerial discretion; intergovernmental convening) could, in principle, be advanced first and create conditions under which the longer-horizon pathways become more politically tractable. The longer-horizon pathways (statutory amendment; community-side institution-building), advanced from the outset, would alter the configuration in which the short-horizon pathways are subsequently asked. The sequencing question is therefore part of the political-economy configuration. Third, the actors positioned to advance each pathway are differently constituted, and the configuration of actors that would be required to advance the pathways as an integrated system is not currently assembled in the documented record. The §6.6 structural-absence findings (the governing-party's silence, the downstream states' silence, the organised-affirmative-grassroots-voice absence) are constituent obstacles to assembling the configuration.</w:t>
      </w:r>
    </w:p>
    <w:p>
      <w:pPr>
        <w:spacing w:line="336" w:lineRule="auto" w:after="160"/>
        <w:jc w:val="both"/>
      </w:pPr>
      <w:r>
        <w:rPr>
          <w:i w:val="0"/>
          <w:sz w:val="23"/>
        </w:rPr>
        <w:t>The chapter's analytical task in this section is, on the agreed register, complete with the identification of the pathways, the actors, the configurations required, and the horizons over which the configurations may be plausibly developed. The chapter does not advance into the question of which configuration the case most plausibly supports, of which actors should advance which pathway, or of what the report's position on the reform horizon ought to be. Those questions are reserved for actors positioned within the field to make and lie beyond the present study's analytical remit. What the study does establish is the structural geography of the reform horizon: what the architecture can host, what would be required for it to do so, and on what horizons the requirements may be plausibly addressed.</w:t>
      </w:r>
    </w:p>
    <w:p>
      <w:pPr>
        <w:spacing w:before="360" w:after="120"/>
      </w:pPr>
      <w:r>
        <w:rPr>
          <w:b/>
          <w:color w:val="1F3864"/>
          <w:sz w:val="32"/>
        </w:rPr>
        <w:t>7.6  What this study does not settle</w:t>
      </w:r>
    </w:p>
    <w:p>
      <w:pPr>
        <w:spacing w:line="336" w:lineRule="auto" w:after="160"/>
        <w:jc w:val="both"/>
      </w:pPr>
      <w:r>
        <w:rPr>
          <w:i w:val="0"/>
          <w:sz w:val="23"/>
        </w:rPr>
        <w:t>The chapter would be incomplete without an explicit account of the analytical limits of the present study. Six limits are identifiable. Each is presented as a defensible openness rather than as a defect of the work undertaken: the case's analytical strength derives from the discipline of working within identifiable evidentiary boundaries, and the limits named here are constituent of that discipline rather than constraints on it. The limits are, however, openings for further work that the present study has positioned but not completed.</w:t>
      </w:r>
    </w:p>
    <w:p>
      <w:pPr>
        <w:spacing w:before="280" w:after="120"/>
      </w:pPr>
      <w:r>
        <w:rPr>
          <w:b/>
          <w:color w:val="1F3864"/>
          <w:sz w:val="27"/>
        </w:rPr>
        <w:t>7.6.1  The corporate-ownership transparency limit</w:t>
      </w:r>
    </w:p>
    <w:p>
      <w:pPr>
        <w:spacing w:line="336" w:lineRule="auto" w:after="160"/>
        <w:jc w:val="both"/>
      </w:pPr>
      <w:r>
        <w:rPr>
          <w:i w:val="0"/>
          <w:sz w:val="23"/>
        </w:rPr>
        <w:t>The first limit is the open record's incomplete coverage of the corporate-ownership question for the non-Headspring EPL holders documented in §6.2.7. The case has established what the open record supports (Headspring's corporate identity as the Namibian subsidiary of Rosatom-controlled Uranium One Group, triangulated through Al Jazeera, WISE Uranium Project, the MME licence-contact register, and the proponent's own public communications) and has applied corporate-attribution discipline to the wider EPL landscape (Green Mining; Uraplant; Zoya; the Sun Investments group). The discipline produces a defensible documentary position. It does not resolve the question of whether the corporate-services-nexus pattern §6.7.4 documents indicates common beneficial ownership or only common corporate-services arrangements. Resolution of that question would require either statutory beneficial-ownership disclosure at EITI Standard 2023 levels (not currently provided in Namibian statute) or investigative-journalism or corporate-research methodologies that lie beyond the qualitative-research remit of the present study. The opening for further work is the application of corporate-research methodologies to the specific EPL-holder configuration the present study has documented at the surface level.</w:t>
      </w:r>
    </w:p>
    <w:p>
      <w:pPr>
        <w:spacing w:before="280" w:after="120"/>
      </w:pPr>
      <w:r>
        <w:rPr>
          <w:b/>
          <w:color w:val="1F3864"/>
          <w:sz w:val="27"/>
        </w:rPr>
        <w:t>7.6.2  The proponent-engagement limit</w:t>
      </w:r>
    </w:p>
    <w:p>
      <w:pPr>
        <w:spacing w:line="336" w:lineRule="auto" w:after="160"/>
        <w:jc w:val="both"/>
      </w:pPr>
      <w:r>
        <w:rPr>
          <w:i w:val="0"/>
          <w:sz w:val="23"/>
        </w:rPr>
        <w:t>The second limit is the absence of direct engagement with the proponent. No Headspring Investments, Uranium One Group, or Rosatom representative was interviewed for the present study. Interview approaches were extended to Headspring Investments via Vanessa Bohitile, the proponent's Public Relations Officer, on 12 and 13 May 2026, requesting an interview with a Headspring representative on the case's substantive matter. No interview dates were offered in response, and no proponent-side interview was subsequently arranged within the fieldwork period. The proponent's positions have therefore been documented exclusively from the proponent's own public-facing communications (the FAQ and project website; the Schlettwein rebuttal press release; the Namibian Uranium Association's listing and industry-positioning material), from press coverage of proponent statements (including the Informanté reporting of Bohitile's rebuttal positions), and from the documented regulatory record (the 2021 MAWLR permit withdrawal letter and the proponent's response to it). The documentary basis is substantial. It does not include the kind of in-depth qualitative engagement with proponent representatives that would, in a fuller study, allow the proponent's procedural logic and substantive positions to be examined at the level the four-channel evidentiary discipline applies to the documented opposition and the affected community. The opening for further work is the conduct of such engagement in a follow-on study, with the methodological caveat that proponent participation in qualitative research on contentious extractive cases is, on the comparative literature (Owen and Kemp, 2014; Owen and Kemp, 2013), itself a structural condition rather than a research-design variable.</w:t>
      </w:r>
    </w:p>
    <w:p>
      <w:pPr>
        <w:spacing w:before="280" w:after="120"/>
      </w:pPr>
      <w:r>
        <w:rPr>
          <w:b/>
          <w:color w:val="1F3864"/>
          <w:sz w:val="27"/>
        </w:rPr>
        <w:t>7.6.3  The downstream-state and intra-regional fieldwork limits</w:t>
      </w:r>
    </w:p>
    <w:p>
      <w:pPr>
        <w:spacing w:line="336" w:lineRule="auto" w:after="160"/>
        <w:jc w:val="both"/>
      </w:pPr>
      <w:r>
        <w:rPr>
          <w:i w:val="0"/>
          <w:sz w:val="23"/>
        </w:rPr>
        <w:t>The third limit has two dimensions. The first is the absence of fieldwork in the downstream-state communities in Botswana and South Africa. The STAS is a transboundary aquifer, and the licence-question configuration affects communities in all three of the basin's national territories. The present study has worked exclusively in the Namibian portion of the basin (the Aminuis and Leonardville communities) and has documented the downstream-state silence in the open record as a structural absence (§6.6.2). The limit is therefore evidentiary: the study has shown that the downstream states are absent from the documented record but has not, through fieldwork in those territories, examined whether the absence reflects communities that are similarly affected but structurally unable to register positions, communities that are differently configured and produce different position-takings, or communities whose absence reflects geographical distance from the operative licence question.</w:t>
      </w:r>
    </w:p>
    <w:p>
      <w:pPr>
        <w:spacing w:line="336" w:lineRule="auto" w:after="160"/>
        <w:jc w:val="both"/>
      </w:pPr>
      <w:r>
        <w:rPr>
          <w:i w:val="0"/>
          <w:sz w:val="23"/>
        </w:rPr>
        <w:t>The second dimension is the absence of dedicated fieldwork with the San population in Omaheke. Dirkx and Thiem (2014) document the San as the fourth-largest language group in the Region (approximately 7% of the regional population), represented through two traditional authorities recognised by the Namibian Government in 2009, and as among the most vulnerable Omaheke populations on the documented record. The San are dispersed across resettlement projects, communal areas, and the Kanaan informal settlement in Epako (Gobabis), with concentrations also in the Corridor communal areas in the southern part of the Region. The present study's fieldwork did not extend to a San-specific engagement programme, and the documented record on which Chapters 5 and 6 rest does not capture the San population's engagement with the case as a distinct constituency. The limit reflects research-design choices about geographical coverage and resource allocation rather than a substantive judgement about the relevance of the San population to the case. The opening for further work, on both dimensions of the limit, is fieldwork in the relevant Botswana and South Africa downstream communities and a complementary San-specific engagement programme in Omaheke, conducted to the same methodological standard as the present Namibian fieldwork.</w:t>
      </w:r>
    </w:p>
    <w:p>
      <w:pPr>
        <w:spacing w:before="280" w:after="120"/>
      </w:pPr>
      <w:r>
        <w:rPr>
          <w:b/>
          <w:color w:val="1F3864"/>
          <w:sz w:val="27"/>
        </w:rPr>
        <w:t>7.6.4  The hydrogeological-assessment limit</w:t>
      </w:r>
    </w:p>
    <w:p>
      <w:pPr>
        <w:spacing w:line="336" w:lineRule="auto" w:after="160"/>
        <w:jc w:val="both"/>
      </w:pPr>
      <w:r>
        <w:rPr>
          <w:i w:val="0"/>
          <w:sz w:val="23"/>
        </w:rPr>
        <w:t>The fourth limit is the absence of an explicit hydrogeological assessment within the study itself. The case has documented the convergent scientific positions on the substantive risks (NCE 2025; IGRAC 2024; ORASECOM 2024; Miller 2022; Tjipangandjara via Water Solutions Group; the MAWLR 2021 letter) and has positioned those positions against the proponent's contrasting account. The case has not, however, conducted a hydrogeological assessment of its own. The limit is, in this instance, a constituent feature of the study's social-research remit rather than an openness that the same study could close. A hydrogeological assessment of the kind Condition 2 of §6.7.6 specifies requires technical expertise and field methodologies that lie outside the qualitative-research methodological tradition the present study operates within. The opening for further work is therefore not a follow-on within the present study but a complementary technical assessment that would address the evidentiary question on which the social-licence question could subsequently be asked.</w:t>
      </w:r>
    </w:p>
    <w:p>
      <w:pPr>
        <w:spacing w:before="280" w:after="120"/>
      </w:pPr>
      <w:r>
        <w:rPr>
          <w:b/>
          <w:color w:val="1F3864"/>
          <w:sz w:val="27"/>
        </w:rPr>
        <w:t>7.6.5  The moving-target limit</w:t>
      </w:r>
    </w:p>
    <w:p>
      <w:pPr>
        <w:spacing w:line="336" w:lineRule="auto" w:after="160"/>
        <w:jc w:val="both"/>
      </w:pPr>
      <w:r>
        <w:rPr>
          <w:i w:val="0"/>
          <w:sz w:val="23"/>
        </w:rPr>
        <w:t>The fifth limit is the present moment's status as a moving target. The case is, at the time of writing, in active regulatory and political development. The Cabinet's 'decision based on science' formulation (The Namibian, 2026a) has not been put into effect, but the formulation's operative potential is open. The Standing Committee's 2025 recommendation has not, on the documented record, been accepted by the executive, but neither has it been retracted. The Uranium One High Court withdrawal (The Namibian, 2025a) altered the immediate procedural configuration but did not settle the licence question. The MME licence-contact register (MME, 2025) captures a configuration of EPL holdings at a single date but reflects a dynamic licensing environment in which new applications, withdrawals, and transfers continue. The study has worked with the documented record as it stood at the close of the May 2026 documentation cut-off. The opening for further work is the study's iterative re-examination at subsequent moments in the case's regulatory and political trajectory; the four-channel evidentiary discipline and the §7.4 scaffolding are positioned to host such re-examination without methodological revision.</w:t>
      </w:r>
    </w:p>
    <w:p>
      <w:pPr>
        <w:spacing w:before="280" w:after="120"/>
      </w:pPr>
      <w:r>
        <w:rPr>
          <w:b/>
          <w:color w:val="1F3864"/>
          <w:sz w:val="27"/>
        </w:rPr>
        <w:t>7.6.6  The wider-survey limit</w:t>
      </w:r>
    </w:p>
    <w:p>
      <w:pPr>
        <w:spacing w:line="336" w:lineRule="auto" w:after="160"/>
        <w:jc w:val="both"/>
      </w:pPr>
      <w:r>
        <w:rPr>
          <w:i w:val="0"/>
          <w:sz w:val="23"/>
        </w:rPr>
        <w:t>The sixth limit is the question of whether a wider basin-community survey (quantitative or qualitative at greater scale than the present 17-KII and six-focus-group corpus) would add to the qualitative findings reported. The study's design has been deliberately intensive rather than extensive: the corpus is rich in depth, in source variety, and in the geographic and demographic span of the Aminuis to Leonardville gradient, but it does not aspire to statistical representativeness or to coverage of the basin's full population. The limit is therefore methodological in design rather than evidentiary in execution. The opening for further work is a complementary larger-scale survey that would, where the present study has identified positions through qualitative depth, examine their distribution at the basin-population scale. The complementary work would not replace the present qualitative analysis but would extend its findings to questions of distributional pattern the present design does not address.</w:t>
      </w:r>
    </w:p>
    <w:p>
      <w:pPr>
        <w:spacing w:before="360" w:after="120"/>
      </w:pPr>
      <w:r>
        <w:rPr>
          <w:b/>
          <w:color w:val="1F3864"/>
          <w:sz w:val="32"/>
        </w:rPr>
        <w:t>7.7  Conclusion to the chapter: the regulatory-architectural critique consolidated</w:t>
      </w:r>
    </w:p>
    <w:p>
      <w:pPr>
        <w:spacing w:line="336" w:lineRule="auto" w:after="160"/>
        <w:jc w:val="both"/>
      </w:pPr>
      <w:r>
        <w:rPr>
          <w:i w:val="0"/>
          <w:sz w:val="23"/>
        </w:rPr>
        <w:t>Chapter 7's analytical work is now complete. The chapter opened with the six conditions Chapter 6 had specified and asked what the Namibian regulatory architecture, in its present configuration, is positioned to host. §7.2 worked through the conditions one by one and rendered, in Figure 7.1, the typology of regulatory-change pathways the differentiated feasibility produces: ministerial discretion within existing statute for Conditions 1 and 2 and for the operational-capacity component of Condition 6; intergovernmental convening for Condition 3; statutory amendment for Condition 4 and for the regulatory-amendment component of Condition 6; and community-side institution-building for Condition 5. §7.3 moved the analysis to the architecture's level and identified four structural gaps (the procedural optionality of the inter-ministerial resolution venue; the absence of beneficial-ownership transparency and basin-wide liability arrangements; the absence of community-side procedural standing in mineral-rights matters; and the design-level underperformance of the EIA architecture) clustering around three architectural features: reliance on executive discretion as the principal procedural mechanism; calibration to the project as the unit of regulatory analysis; and incomplete reception of the international regulatory-design consensus. §7.4 made explicit the analytical scaffolding the chapter draws on. §7.5 examined the four change-pathways' political economy in reserved-analytic register, and §7.6 named the present study's analytical limits.</w:t>
      </w:r>
    </w:p>
    <w:p>
      <w:pPr>
        <w:spacing w:line="336" w:lineRule="auto" w:after="160"/>
        <w:jc w:val="both"/>
      </w:pPr>
      <w:r>
        <w:rPr>
          <w:i w:val="0"/>
          <w:sz w:val="23"/>
        </w:rPr>
        <w:t>Read together, the chapter's findings converge on a single proposition the combined evidentiary work supports. The Namibian extractive-regulatory architecture is, on the documented evidence, capable of hosting a defensible licence-producing process for cases of the present structural kind. What the architecture does not, in its present configuration, do is require itself to do so. The conditions Chapter 6 specified are achievable within the architecture: the short-horizon conditions (1, 2, 3) within existing statute and treaty law; the medium-horizon conditions (5, 6) through co-ordinated regulatory and institution-building action; the longer-horizon condition (4) through the kind of statutory amendment the political-economy literature documents as the outcome of sustained coalition-formation over multiple parliamentary cycles. The architecture's hospitality is, in this sense, design-level rather than operational-level: the design provides; the operation, at the time of writing, does not.</w:t>
      </w:r>
    </w:p>
    <w:p>
      <w:pPr>
        <w:spacing w:line="336" w:lineRule="auto" w:after="160"/>
        <w:jc w:val="both"/>
      </w:pPr>
      <w:r>
        <w:rPr>
          <w:i w:val="0"/>
          <w:sz w:val="23"/>
        </w:rPr>
        <w:t>The chapter therefore terminates on the analytical observation that what the case requires is not, in the first instance, a substantive reconsideration of the project but a procedural reformation of the architecture within which the project is being considered. The four structural gaps §7.3 identified and the three architectural features they cluster around (executive-discretion reliance, project-scale regulatory calibration, and incomplete reception of the international regulatory-design consensus) characterise the architecture's present configuration. Closing the gaps, on §7.3.5's analysis, is not a sequence of independent reforms but an integrated reform task whose political economy §7.5 has set out in reserved-analytic register. The chapter's register has been regulatory-architectural throughout; the report's closing in Chapter 8 carries the same critique to the level of what is at stake across the case's wider significance.</w:t>
      </w:r>
    </w:p>
    <w:p>
      <w:pPr>
        <w:spacing w:line="336" w:lineRule="auto" w:after="160"/>
        <w:jc w:val="both"/>
      </w:pPr>
      <w:r>
        <w:rPr>
          <w:i w:val="0"/>
          <w:sz w:val="23"/>
        </w:rPr>
        <w:t>What the chapter does not undertake (what is reserved for Chapter 8) is the report-closing rhetorical work: the consolidated account of what the report as a whole has found, the synthesis for an educated general readership, the location of the case's significance at the Namibian-regulatory and transboundary-aquifer levels, and the closing observation about what is at stake. Chapter 7 closes here, having completed the regulatory-architectural critique that is its principal analytical task. The report's closure follows in Chapter 8.</w:t>
      </w:r>
    </w:p>
    <w:p>
      <w:r>
        <w:br w:type="page"/>
      </w:r>
    </w:p>
    <w:p>
      <w:pPr>
        <w:jc w:val="center"/>
      </w:pPr>
      <w:r>
        <w:rPr>
          <w:b/>
          <w:color w:val="595959"/>
          <w:sz w:val="26"/>
        </w:rPr>
        <w:t>CHAPTER 8</w:t>
      </w:r>
    </w:p>
    <w:p>
      <w:pPr>
        <w:jc w:val="center"/>
      </w:pPr>
      <w:r>
        <w:rPr>
          <w:b/>
          <w:color w:val="1F3864"/>
          <w:sz w:val="44"/>
        </w:rPr>
        <w:t>CONCLUSION</w:t>
      </w:r>
    </w:p>
    <w:p>
      <w:pPr>
        <w:jc w:val="center"/>
      </w:pPr>
      <w:r>
        <w:rPr>
          <w:i/>
          <w:color w:val="595959"/>
          <w:sz w:val="26"/>
        </w:rPr>
        <w:t>What this report has set out to do, what it has found, and what is at stake</w:t>
      </w:r>
    </w:p>
    <w:p/>
    <w:p/>
    <w:p>
      <w:pPr>
        <w:spacing w:before="360" w:after="120"/>
      </w:pPr>
      <w:r>
        <w:rPr>
          <w:b/>
          <w:color w:val="1F3864"/>
          <w:sz w:val="32"/>
        </w:rPr>
        <w:t>8.1  What this report set out to do</w:t>
      </w:r>
    </w:p>
    <w:p>
      <w:pPr>
        <w:spacing w:line="336" w:lineRule="auto" w:after="160"/>
        <w:jc w:val="both"/>
      </w:pPr>
      <w:r>
        <w:rPr>
          <w:sz w:val="23"/>
        </w:rPr>
        <w:t>This report has examined the question of social licence to operate in a specific Namibian extractive case: the proposed Headspring Investments uranium in-situ recovery project in the Stampriet Transboundary Aquifer System (STAS), and the wider basin-area exploration programme of which it is the visible front-runner. The case is among the most consequential extractive cases now in active regulatory development anywhere in the Southern African Development Community (SADC) region. It places a nuclear-fuel-cycle mining operation, conducted through a chemical-leaching technology with documented contamination histories in other jurisdictions, on a transboundary drinking-water aquifer whose hydrogeological properties amplify rather than buffer the risks involved. It does so in a community landscape (Aminuis, Leonardville, and the wider basin population of pastoralists, small commercial farmers, and settlement-based wage-earners) whose livelihoods depend on the aquifer in ways that ordinary extractive cases do not make visible. And it does so under a regulatory architecture whose internal configuration has produced, on the documented record, an unusual procedural fragmentation of state position that has so far defied executive resolution.</w:t>
      </w:r>
    </w:p>
    <w:p>
      <w:pPr>
        <w:spacing w:line="336" w:lineRule="auto" w:after="160"/>
        <w:jc w:val="both"/>
      </w:pPr>
      <w:r>
        <w:rPr>
          <w:sz w:val="23"/>
        </w:rPr>
        <w:t>The report's research question was structured to capture both the empirical and the analytical work that such a case demands. Stated in the form in which it has governed the report's chapters: under the structural conditions of legitimacy this case presents, what positions, observations, and absences populate the field of contestation around the project; and what would be required for a defensible social-licence question to be asked and answered within the Namibian regulatory architecture? The two limbs of the question correspond, respectively, to the structural-conditions analysis in Chapter 5 and the field-of-contestation mapping in Chapter 6, and to the regulatory-architectural critique in Chapter 7. The methodological framework adopted (a hybrid directed-inductive thematic analysis conducted under an explicit four-channel evidentiary discipline: documented organisational, aggregated community, individual informed-observer, and structural-absence evidence) was set out at §6.1 and is the analytical instrument through which the case work has been conducted.</w:t>
      </w:r>
    </w:p>
    <w:p>
      <w:pPr>
        <w:spacing w:line="336" w:lineRule="auto" w:after="160"/>
        <w:jc w:val="both"/>
      </w:pPr>
      <w:r>
        <w:rPr>
          <w:sz w:val="23"/>
        </w:rPr>
        <w:t>The report's evidentiary base is substantial. It draws on a seventeen-source primary corpus comprising nine key informant interviews with technical, legal, regulatory, environmental-practitioner, and civil-society informants; one institutional interview with the Leonardville Village Council; one interview with a Leonardville-area local resident; and six community focus groups (n=57 participants) across Aminuis and Leonardville. It draws further on the documented public record of organisational positions taken in the case across the 2020 to 2026 period, consolidated in Sheet 6 of the report's source matrix (50 rows of documented organisational positions); the Ministry of Mines and Energy's licence-contact register and the spatial mapping of the basin-wide EPL programme; published technical literature on in-situ recovery uranium mining and on the Stampriet aquifer specifically; and the regulatory record comprising statutory instruments, ministerial correspondence, parliamentary submissions, and the documented decisions and non-decisions of the four state parties whose positions on the case have not been reduced to a single voice. The corpus has been triangulated across types of evidence and assembled under the four-channel discipline that the methodological framework specified. The report does not undertake hydrogeological assessment of its own, does not conduct fieldwork in the downstream-state portions of the basin in Botswana and South Africa, and has not secured direct engagement with the proponent. These limits and the openings they create for further work were named explicitly in §7.6.</w:t>
      </w:r>
    </w:p>
    <w:p>
      <w:pPr>
        <w:spacing w:line="336" w:lineRule="auto" w:after="160"/>
        <w:jc w:val="both"/>
      </w:pPr>
      <w:r>
        <w:rPr>
          <w:sz w:val="23"/>
        </w:rPr>
        <w:t>Two principal audiences are positioned to read the report. The first is the Namibian regulatory, parliamentary, and ministerial readership, for whom the regulatory-architectural critique and the six-condition and four-pathway typology developed in Chapter 7 are positioned as analytical instruments for the case in its present configuration and for cases of structurally comparable kinds. The second is the affected-community advocacy readership (SAUMA, the Namibian Chamber of Environment, the Namibia Agricultural Union, the Legal Assistance Centre, the Environmental Compliance Consultancy, and the wider civil-society constituency engaged with the case) for whom the consolidated documentary record, the structural-conditions analysis, and the political economy of the four change-pathways are positioned as resources for the work the affected community and its allies are doing on the case's reform horizon. The report has been written to address the two principal readerships within a single analytical frame.</w:t>
      </w:r>
    </w:p>
    <w:p>
      <w:pPr>
        <w:spacing w:before="360" w:after="120"/>
      </w:pPr>
      <w:r>
        <w:rPr>
          <w:b/>
          <w:color w:val="1F3864"/>
          <w:sz w:val="32"/>
        </w:rPr>
        <w:t>8.2  What this report has found</w:t>
      </w:r>
    </w:p>
    <w:p>
      <w:pPr>
        <w:spacing w:line="336" w:lineRule="auto" w:after="160"/>
        <w:jc w:val="both"/>
      </w:pPr>
      <w:r>
        <w:rPr>
          <w:sz w:val="23"/>
        </w:rPr>
        <w:t>The report's findings can be presented at three levels of generality. At the level of the structural conditions of legitimacy (Chapter 5), the case presents a layered legitimacy environment in which the conditions for organised consent are weaker than the case's procedural surface suggests. At the level of the architecture of positions, observations, and absences (Chapter 6), the field of contestation is populated by a documented opposition with substantial technical and advocacy standing, a community-level position-architecture centred below the trust midline, and a set of structural absences whose cumulative effect is that licence is currently on offer in a form the affected community has had no procedural venue in which to grant or refuse. At the level of the regulatory architecture (Chapter 7), the conditions a defensible licence-producing process would require are differently amenable to the architecture's reform horizons, and four structural gaps in the architecture itself cluster around three deeper features: reliance on executive discretion as the principal procedural mechanism; calibration to the project as the unit of regulatory analysis; and incomplete reception of the international regulatory-design consensus that has emerged in the two decades since the architecture's principal statutes were enacted. Each of the three levels is summarised below.</w:t>
      </w:r>
    </w:p>
    <w:p>
      <w:pPr>
        <w:spacing w:before="280" w:after="120"/>
      </w:pPr>
      <w:r>
        <w:rPr>
          <w:b/>
          <w:color w:val="1F3864"/>
          <w:sz w:val="27"/>
        </w:rPr>
        <w:t>8.2.1  The structural conditions of legitimacy</w:t>
      </w:r>
    </w:p>
    <w:p>
      <w:pPr>
        <w:spacing w:line="336" w:lineRule="auto" w:after="160"/>
        <w:jc w:val="both"/>
      </w:pPr>
      <w:r>
        <w:rPr>
          <w:sz w:val="23"/>
        </w:rPr>
        <w:t>Chapter 5 set out the conditions under which any social-licence question in this case must be asked. Six structural conditions were examined. The information environment surrounding the project is sparse and asymmetric: the project's principal claims circulate through proponent-controlled channels and industry-association communications; the affected community encounters those claims with limited independent technical documentation; and the contesting positions are carried principally by civil-society and intergovernmental sources whose access to the affected community is itself mediated. The trust environment of the case is asymmetric: distrust extends in seven distinct directions across actors and institutions, and the actors whose positions carry the weight of the project's procedural standing are not, in the affected community's documented sentiment, those in whom trust is located. The political economy is configured around acute service-delivery deficits and high unemployment in the affected communities, conditions under which any project's promises of jobs and local economic activity are received with a particular kind of weight that the trust environment does not match.</w:t>
      </w:r>
    </w:p>
    <w:p>
      <w:pPr>
        <w:spacing w:line="336" w:lineRule="auto" w:after="160"/>
        <w:jc w:val="both"/>
      </w:pPr>
      <w:r>
        <w:rPr>
          <w:sz w:val="23"/>
        </w:rPr>
        <w:t>Three further conditions deepen the structural analysis. Water in the Kalahari pastoralist economy is non-substitutable: the affected community's livelihood architecture is not configured to absorb a substitution of the resource on which it depends. Place attachment in the affected communities is documented as non-relocable: the communities are not, on the fieldwork and informant evidence, configured as relocable populations whose place-bound investment in the landscape can be compensated through alternative-settlement arrangements. And the Aminuis-Leonardville gradient (the differential configuration of refusal and ambivalence between the two principal communities) reflects, on §5.7's analysis, the structural difference in their material exposure to the project's promised benefits rather than a substantive difference in their assessment of its risks. The six conditions, taken together, produce a layered legitimacy environment in which the surface procedural arrangements (consultations, EIA process, ministerial decisions, parliamentary recommendations) operate against a structural ground that the surface arrangements do not themselves account for. The chapter's contribution to the report's overall argument is that the case's social-licence question cannot be defensibly asked in isolation from these structural conditions: licence on the surface and licence on the structural ground are different questions, and the report's evidence is that they are not currently aligned.</w:t>
      </w:r>
    </w:p>
    <w:p>
      <w:pPr>
        <w:spacing w:before="280" w:after="120"/>
      </w:pPr>
      <w:r>
        <w:rPr>
          <w:b/>
          <w:color w:val="1F3864"/>
          <w:sz w:val="27"/>
        </w:rPr>
        <w:t>8.2.2  The architecture of positions, observations, and absences</w:t>
      </w:r>
    </w:p>
    <w:p>
      <w:pPr>
        <w:spacing w:line="336" w:lineRule="auto" w:after="160"/>
        <w:jc w:val="both"/>
      </w:pPr>
      <w:r>
        <w:rPr>
          <w:sz w:val="23"/>
        </w:rPr>
        <w:t>Chapter 6 turned from structural conditions to the positions taken within them. The chapter's principal finding was rendered through an explicit four-channel evidentiary discipline. At the level of documented organisational positions (§6.2), the public record across the 2020 to 2026 period shows the proponent's position as monolithic and industrially-aligned; the state's position as split across four overlapping parties (the Ministry of Mines and Energy, the Office of the Environmental Commissioner in the Ministry of Environment, Forestry and Tourism, the Ministry of Agriculture, Water and Land Reform, and the Parliamentary Standing Committee on Natural Resources); the documented opposition as substantively convergent across SAUMA, the Namibian Chamber of Environment, the Namibia Agricultural Union, the Republican Party, the Orange-Senqu River Commission, the International Groundwater Resources Assessment Centre, the former Director of the Geological Survey of Namibia Roy Miller, and the Water Solutions Group panel led by Kuiri Tjipangandjara. The state-split analysis (§6.3) found that the split has been politically functional rather than dysfunctional for the executive, and that its stabilisation has procedural-justice costs the chapter documented in three forms.</w:t>
      </w:r>
    </w:p>
    <w:p>
      <w:pPr>
        <w:spacing w:line="336" w:lineRule="auto" w:after="160"/>
        <w:jc w:val="both"/>
      </w:pPr>
      <w:r>
        <w:rPr>
          <w:sz w:val="23"/>
        </w:rPr>
        <w:t>At the level of aggregated community positions (§6.4), the focus-group and Village Council corpus produced a six-position typology (principled refusers, conditional refusers, wait-and-see, pragmatic acquiescence, materially-dependent ambivalence, and the reluctantly-included local-leadership cluster) rendered against axes of material dependence on the project and trust in the procedural channels through which the project is being advanced (Figure 6.1). The community-level centre of gravity sits below the trust midline; the upper-right region of the figure (the area Boutilier's framework calls 'approval' shading into 'identification') is empty in the corpus. At the level of individual informed-observer evidence (§6.5), interviews with legal-procedural, scientific-technical, environmental-practitioner, and industry-adjacent informants supplied institutional-detail interpretation that the four-channel discipline treats as field-level interpretation rather than as institutional position-taking. At the level of structural absences (§6.6), five categories of absence (governing-party, downstream-state, local-institutional, opposition-party-and-labour, and community-affirmative) were documented as positive evidentiary findings in their own right, with the structurally absent organised affirmative grassroots voice the most consequential single absence.</w:t>
      </w:r>
    </w:p>
    <w:p>
      <w:pPr>
        <w:spacing w:line="336" w:lineRule="auto" w:after="160"/>
        <w:jc w:val="both"/>
      </w:pPr>
      <w:r>
        <w:rPr>
          <w:sz w:val="23"/>
        </w:rPr>
        <w:t>The chapter's synthesis (§6.7) characterised the licence on offer as licence by silence (the absence of refusal is taken by the procedural architecture to amount to consent), licence by misrecognition (community positions are read by the architecture in the architecture's own terms rather than in the community's), and licence by asymmetric scope (the procedural focus is on the Headspring component, while the programme the community would in fact be subject to extends across nearly 60% of the basin under multiple corporate names). The six conditions under which a defensible licence-producing process could, in principle, be developed were specified at §6.7.6: a unified state voice, an independent international scientific review, formal transboundary consultation, a binding basin-wide liability regime, a community-side institutional infrastructure with procedural standing, and an information environment with shared evidentiary standards. These conditions become the analytical departure for Chapter 7.</w:t>
      </w:r>
    </w:p>
    <w:p>
      <w:pPr>
        <w:spacing w:before="280" w:after="120"/>
      </w:pPr>
      <w:r>
        <w:rPr>
          <w:b/>
          <w:color w:val="1F3864"/>
          <w:sz w:val="27"/>
        </w:rPr>
        <w:t>8.2.3  Regulatory architecture and analytical scaffolding</w:t>
      </w:r>
    </w:p>
    <w:p>
      <w:pPr>
        <w:spacing w:line="336" w:lineRule="auto" w:after="160"/>
        <w:jc w:val="both"/>
      </w:pPr>
      <w:r>
        <w:rPr>
          <w:sz w:val="23"/>
        </w:rPr>
        <w:t>Chapter 7 examined the six conditions against the Namibian regulatory architecture's capacity to host them. The conditions cluster, on the §7.2 walkthrough, into four regulatory-change pathways (Figure 7.1): ministerial discretion within existing statute (Conditions 1 and 2 and the operational-capacity component of Condition 6); intergovernmental convening within an architecture that treaty and statutory law already fully provide (Condition 3); statutory amendment of depth (Condition 4 and the regulatory-amendment component of Condition 6); and community-side institution-building (Condition 5). The differentiated feasibility is the chapter's first substantive finding: Conditions 1, 2, and 3 are achievable on short horizons (12 months or less) if the executive and the responsible ministries elect to put them into effect; Conditions 5 and 6 on medium horizons (24 to 36 months); Condition 4 on the longer horizon of a full parliamentary cycle or longer.</w:t>
      </w:r>
    </w:p>
    <w:p>
      <w:pPr>
        <w:spacing w:line="336" w:lineRule="auto" w:after="160"/>
        <w:jc w:val="both"/>
      </w:pPr>
      <w:r>
        <w:rPr>
          <w:sz w:val="23"/>
        </w:rPr>
        <w:t>The chapter's structural-gaps argument (§7.3, Figure 7.2) elevated the analysis from condition-specific to architecture-level. Four gaps were identified: the procedural absence of an inter-ministerial resolution venue (Gap 1); the absence of beneficial-ownership transparency and basin-wide liability arrangements (Gap 2); the absence of community-side procedural standing in mineral-rights matters (Gap 3); and the design-level underperformance of the EIA architecture documented by Pallett and Iipinge (2024) on behalf of the Namibian Environment and Wildlife Society (NEWS) (Gap 4). The gaps cluster, on §7.3.5's argument, around three architectural features: reliance on executive discretion as the principal procedural mechanism; calibration to the project as the unit of regulatory analysis; and incomplete reception of the international regulatory-design consensus that has emerged in the two decades since the Minerals (Prospecting and Mining) Act 33 of 1992 and the Environmental Management Act 7 of 2007 were enacted. The gaps are integrative: closing any one of them would not, on the chapter's analysis, leave the architecture's clustering features substantially altered.</w:t>
      </w:r>
    </w:p>
    <w:p>
      <w:pPr>
        <w:spacing w:line="336" w:lineRule="auto" w:after="160"/>
        <w:jc w:val="both"/>
      </w:pPr>
      <w:r>
        <w:rPr>
          <w:sz w:val="23"/>
        </w:rPr>
        <w:t>The chapter's §7.4 makes explicit the analytical scaffolding the critique draws on from the social-licence and extractive-governance literatures: the procedural-fairness account (Moffat and Zhang, 2014; Owen and Kemp, 2013, 2017); the recognition-justice tradition (Schlosberg, 2007; Whyte, 2011; Hanna et al., 2016; Ehrnström-Fuentes, 2016); Boutilier's (2014) four-level licence pyramid; the regulatory-state and extractive-governance literature (Levi-Faur, 2011; Bebbington and Bury, 2013; Bridge, 2004; Watts, 2004); Kirsch's (2014) strategic-disaggregation argument; the corporate-transparency and beneficial-ownership literature (Le Billon, 2012; Sharman, 2017); and the transboundary-groundwater law instruments (Eckstein, 2017; ILC, 2008; SADC, 2000). The case's own analytical moves (the four-channel evidentiary discipline through which Chapter 6 was conducted, the four-overlapping-state-parties observation §6.3 documents, the corporate-services-nexus finding at §6.7.4, and the characterisation of the licence on offer as licence by silence, misrecognition, and asymmetric scope at §6.7) operate within that scaffolding as methodological choices and case findings.</w:t>
      </w:r>
    </w:p>
    <w:p>
      <w:pPr>
        <w:spacing w:line="336" w:lineRule="auto" w:after="160"/>
        <w:jc w:val="both"/>
      </w:pPr>
      <w:r>
        <w:rPr>
          <w:sz w:val="23"/>
        </w:rPr>
        <w:t>The chapter's reform-horizon section (§7.5) examined each of the four change-pathways in reserved-analytic register, identifying for each the distributional consequences of advance, the actors positioned to advance it, the configuration of advocacy, technical-authority, parliamentary, and ministerial action required, and the realistic horizon over which advance is plausible. The reading-across analysis established three observations: the four pathways are not independent; their horizons are uneven and the unevenness produces sequencing questions; and the configuration of actors required to advance the pathways as an integrated system is not, on the present documented record, currently assembled. The chapter's analytic close (§7.7) consolidated the regulatory-architectural critique into the proposition that the Namibian architecture is capable of hosting a defensible licence-producing process if its constitutive mechanisms were operationalised in the form the architecture provides for: that the architecture's design provides what its operation, at the time of writing, does not.</w:t>
      </w:r>
    </w:p>
    <w:p>
      <w:pPr>
        <w:spacing w:before="280" w:after="120"/>
      </w:pPr>
      <w:r>
        <w:rPr>
          <w:b/>
          <w:color w:val="1F3864"/>
          <w:sz w:val="27"/>
        </w:rPr>
        <w:t>8.2.4  The findings as an integrated whole</w:t>
      </w:r>
    </w:p>
    <w:p>
      <w:pPr>
        <w:spacing w:line="336" w:lineRule="auto" w:after="160"/>
        <w:jc w:val="both"/>
      </w:pPr>
      <w:r>
        <w:rPr>
          <w:sz w:val="23"/>
        </w:rPr>
        <w:t>Read across the three chapters, the report's findings produce a single integrated proposition that no individual chapter, on its own, delivers. The proposition is structural and operates at three levels simultaneously. At the level of the structural ground (Chapter 5), the social-licence question in this case is being asked against conditions of legitimacy that the surface procedural arrangements do not account for. At the level of the procedural field (Chapter 6), the architecture's constitutive mechanisms (the means by which procedural parties are formed, the scale at which regulatory units are set, the evidentiary machinery that converts opinion into voice) are presently configured in ways that prevent the social-licence question from being defensibly asked at all. At the level of the regulatory architecture (Chapter 7), the conditions under which the question could be defensibly asked are, the report's evidence suggests, hostable within the architecture but not currently being hosted. The architecture's design provides; its operation, at the time of writing, does not.</w:t>
      </w:r>
    </w:p>
    <w:p>
      <w:pPr>
        <w:spacing w:line="336" w:lineRule="auto" w:after="160"/>
        <w:jc w:val="both"/>
      </w:pPr>
      <w:r>
        <w:rPr>
          <w:sz w:val="23"/>
        </w:rPr>
        <w:t>The integrated proposition reframes what kind of case the STAS case is. It is not a case of a regulatory architecture that has produced a social-licence outcome the affected community would refuse. It is a case of a regulatory architecture that has not, on the documented record, produced the procedural configuration in which the social-licence question can be coherently asked at all. The distinction matters for what follows from the case. The first kind of case calls for substantive reconsideration of the project. The second kind of case calls, instead, for the architecture's reform to the point at which the substantive reconsideration can be conducted within the procedural configuration it requires. The report's evidence is that the present case is the second kind.</w:t>
      </w:r>
    </w:p>
    <w:p>
      <w:pPr>
        <w:spacing w:before="360" w:after="120"/>
      </w:pPr>
      <w:r>
        <w:rPr>
          <w:b/>
          <w:color w:val="1F3864"/>
          <w:sz w:val="32"/>
        </w:rPr>
        <w:t>8.3  What is at stake</w:t>
      </w:r>
    </w:p>
    <w:p>
      <w:pPr>
        <w:spacing w:line="336" w:lineRule="auto" w:after="160"/>
        <w:jc w:val="both"/>
      </w:pPr>
      <w:r>
        <w:rPr>
          <w:sz w:val="23"/>
        </w:rPr>
        <w:t>The case's significance can be located at two levels, each of which extends beyond the case itself to the wider domains in which the case is, in its different aspects, a particular instance: the level of the Namibian extractive-governance trajectory, and the level of transboundary-aquifer governance in the SADC region and beyond. The section closes the report by identifying what is at stake at each level.</w:t>
      </w:r>
    </w:p>
    <w:p>
      <w:pPr>
        <w:spacing w:before="280" w:after="120"/>
      </w:pPr>
      <w:r>
        <w:rPr>
          <w:b/>
          <w:color w:val="1F3864"/>
          <w:sz w:val="27"/>
        </w:rPr>
        <w:t>8.3.1  At the Namibian extractive-governance level</w:t>
      </w:r>
    </w:p>
    <w:p>
      <w:pPr>
        <w:spacing w:line="336" w:lineRule="auto" w:after="160"/>
        <w:jc w:val="both"/>
      </w:pPr>
      <w:r>
        <w:rPr>
          <w:sz w:val="23"/>
        </w:rPr>
        <w:t>What is at stake at this level is that the STAS case brings the gap between the Namibian architecture's statutory design and the present-period international regulatory-design consensus into operational view in a single case. The country's mineral-rights statute (Minerals (Prospecting and Mining) Act 33 of 1992) and its environmental-management statute (Environmental Management Act 7 of 2007) were enacted, respectively, in the early post-independence period and a decade and a half later. Both have been substantial accomplishments of Namibian regulatory design. Both, however, were enacted before the international consensus had fully developed the standards now associated with the Extractive Industries Transparency Initiative (EITI) Standard 2023 on beneficial-ownership transparency, the International Law Commission's (ILC) Draft Articles on the Law of Transboundary Aquifers (2008) on the obligations of states sharing transboundary aquifers, the Free, Prior and Informed Consent (FPIC) doctrine on the procedural standing of affected communities in extractive decision-making (see Schlosberg, 2007; Whyte, 2011), and the basin-scale liability frameworks the comparative literature has developed for cumulative-impact cases.</w:t>
      </w:r>
    </w:p>
    <w:p>
      <w:pPr>
        <w:spacing w:line="336" w:lineRule="auto" w:after="160"/>
        <w:jc w:val="both"/>
      </w:pPr>
      <w:r>
        <w:rPr>
          <w:sz w:val="23"/>
        </w:rPr>
        <w:t>What is at stake at this level is the question of whether the architecture's design will be brought into alignment with the international consensus in the immediate post-STAS-case period, or whether the alignment will be deferred to a subsequent generation of regulatory reform that subsequent cases of comparable or greater consequence will produce. The case is the kind of case that, in the comparative experience of extractive jurisdictions, has historically produced one of two outcomes: a major regulatory-reform episode driven by the case's documented evidence and by the coalition of actors whose advocacy convergence the case has assembled (the trajectory documented by Bebbington and Bury, 2013, for several Latin American jurisdictions), or a deferral that allows the case to be processed within the existing architecture's limits, with the consequence that the gaps the case has exposed remain in place for the next comparable case to encounter. Which of the two outcomes the STAS case will produce is, on the documented record at the time of writing, an open question. The report's contribution to the political-economy dimension of the case is the reserved-analytic typology of §7.5; the question of which configuration of actors and pathways will, in the event, advance the architecture's reform is left for actors positioned within the field to determine.</w:t>
      </w:r>
    </w:p>
    <w:p>
      <w:pPr>
        <w:spacing w:before="280" w:after="120"/>
      </w:pPr>
      <w:r>
        <w:rPr>
          <w:b/>
          <w:color w:val="1F3864"/>
          <w:sz w:val="27"/>
        </w:rPr>
        <w:t>8.3.2  At the transboundary-aquifer governance level</w:t>
      </w:r>
    </w:p>
    <w:p>
      <w:pPr>
        <w:spacing w:line="336" w:lineRule="auto" w:after="160"/>
        <w:jc w:val="both"/>
      </w:pPr>
      <w:r>
        <w:rPr>
          <w:sz w:val="23"/>
        </w:rPr>
        <w:t>The Stampriet Transboundary Aquifer System is one of the largest transboundary aquifers in the Southern African Development Community region, and one of the most consequential drinking-water aquifers for the populations it supports across Namibia, Botswana, and South Africa. The case's transboundary-aquifer significance lies in the demonstration, in a single instance, of three features that the comparative international-groundwater-law literature has addressed in principle but that the present case puts into operation: the inadequacy of single-jurisdiction regulatory analysis for extractive operations on transboundary aquifers; the insufficiency of treaty-framework provision in the absence of operational convening practice; and the structural vulnerability of downstream-state interests where the upstream state's regulatory architecture is configured around national rather than basin-scale units of analysis.</w:t>
      </w:r>
    </w:p>
    <w:p>
      <w:pPr>
        <w:spacing w:line="336" w:lineRule="auto" w:after="160"/>
        <w:jc w:val="both"/>
      </w:pPr>
      <w:r>
        <w:rPr>
          <w:sz w:val="23"/>
        </w:rPr>
        <w:t>What is at stake at this level extends beyond the STAS to the comparable transboundary aquifers across the SADC region and beyond. Other transboundary aquifer systems in the region are exposed, in different configurations, to extractive or extractive-adjacent pressure that the existing transboundary-aquifer governance frameworks were not designed to address. The STAS case is, in this respect, the case in which the questions become operationally visible in the SADC region. The procedural configurations through which the case is resolved will, on the comparative pattern, condition the configurations through which subsequent transboundary-aquifer cases are addressed. The case is, at this level, a precedent-setting case rather than an isolated one.</w:t>
      </w:r>
    </w:p>
    <w:p>
      <w:pPr>
        <w:spacing w:line="336" w:lineRule="auto" w:after="160"/>
        <w:jc w:val="both"/>
      </w:pPr>
      <w:r>
        <w:rPr>
          <w:sz w:val="23"/>
        </w:rPr>
        <w:t>The case's wider significance, at both levels, lies in the conjunction the case presents: a chemical-leaching extractive technology of documented contamination history; a transboundary drinking-water aquifer of international hydrogeological significance; an affected community in a configuration of structural vulnerability; a regulatory architecture whose design predates the international consensus on the regulatory standards the case requires; and a procedural configuration in which the social-licence question, in the sense the international scholarship has developed, cannot at present be coherently asked. What is at stake is whether the conjunction is addressed at the structural level the case requires, or whether the case is processed at the surface level the architecture's present operation provides. The report's evidence is that the two outcomes are structurally distinct. The surface-level processing produces what §6.7 called licence by silence, licence by misrecognition, and licence by asymmetric scope. The structural-level addressal would produce the procedural configuration in which the case's substantive merits could be debated against shared evidentiary standards, with a state interlocutor whose decisions bind, with downstream-state participation under the SADC and ILC frameworks, with a community-side institutional vehicle through which the affected community could register a position the documentary record would recognise, and with a basin-scale liability regime adequate to the cumulative-impact risks the case implies. Which of the two outcomes the case produces is, the report concludes, what is at stake.</w:t>
      </w:r>
    </w:p>
    <w:p>
      <w:pPr>
        <w:spacing w:line="336" w:lineRule="auto" w:after="160"/>
        <w:jc w:val="both"/>
      </w:pPr>
      <w:r>
        <w:rPr>
          <w:sz w:val="23"/>
        </w:rPr>
        <w:t>The report closes here. The chapters that precede it set out the evidence on which the analytical work has been conducted, the analytical work itself, and the consolidated regulatory-architectural critique that the case's combined evidentiary work supports. The remainder is in the hands of the actors (in the affected communities, in the documented opposition, in the Namibian regulatory and parliamentary architectures, in the downstream states, in the international scientific and intergovernmental bodies, and in the proponent itself) whose decisions over the period ahead will, on the case's documented configuration, determine what the case becomes. The report's contribution is the consolidated analytical ground on which those decisions can be informed.</w:t>
      </w:r>
    </w:p>
    <w:p>
      <w:r>
        <w:br w:type="page"/>
      </w:r>
    </w:p>
    <w:p>
      <w:pPr>
        <w:jc w:val="center"/>
      </w:pPr>
      <w:r>
        <w:rPr>
          <w:b/>
          <w:color w:val="1F3864"/>
          <w:sz w:val="32"/>
        </w:rPr>
        <w:t>INTEGRATED REFERENCES</w:t>
      </w:r>
    </w:p>
    <w:p>
      <w:pPr>
        <w:jc w:val="center"/>
      </w:pPr>
      <w:r>
        <w:rPr>
          <w:i/>
          <w:color w:val="595959"/>
          <w:sz w:val="24"/>
        </w:rPr>
        <w:t>Bibliography (v8 — deduplicated, final cross-chapter consolidation pass)</w:t>
      </w:r>
    </w:p>
    <w:p/>
    <w:p>
      <w:r>
        <w:rPr>
          <w:color w:val="595959"/>
          <w:sz w:val="21"/>
        </w:rPr>
        <w:t>Consolidated and de-duplicated reference list for the standalone qualitative study. Harvard citation style (cite-them-right). Version v8 (output filename: SLO_Report_Bibliography_v10.docx) is the final cross-chapter consolidation pass: it loads v9, deduplicates the entries the consolidation audit flagged as appearing twice in previous versions (Cirrus Capital 2026; MAWLR 2021 Compliance Monitoring Feedback Report; National Council of Namibia 2025), and re-sorts the resulting consolidated list. The reference list supports Chapters 1–8 of the SLO report and the report's appendices.</w:t>
      </w:r>
    </w:p>
    <w:p/>
    <w:p>
      <w:pPr>
        <w:spacing w:after="120"/>
        <w:ind w:left="560" w:hanging="560"/>
      </w:pPr>
      <w:r>
        <w:rPr>
          <w:sz w:val="22"/>
        </w:rPr>
        <w:t>Adger, W.N., Barnett, J., Chapin III, F.S. and Ellemor, H. (2011) 'This must be the place: Underrepresentation of identity and meaning in climate change decision-making', Global Environmental Politics, 11(2), pp. 1–25.</w:t>
      </w:r>
    </w:p>
    <w:p>
      <w:pPr>
        <w:spacing w:after="120"/>
        <w:ind w:left="560" w:hanging="560"/>
      </w:pPr>
      <w:r>
        <w:rPr>
          <w:sz w:val="22"/>
        </w:rPr>
        <w:t>Africa Briefing (2025) 'Namibia halts Russian uranium exploration over environmental concerns', Africa Briefing, 24 February. Available at: https://africabriefing.com/namibia-halts-russian-uranium-exploration-over-environmental-concerns/ (Accessed: 25 May 2026).</w:t>
      </w:r>
    </w:p>
    <w:p>
      <w:pPr>
        <w:spacing w:after="120"/>
        <w:ind w:left="560" w:hanging="560"/>
      </w:pPr>
      <w:r>
        <w:rPr>
          <w:sz w:val="22"/>
        </w:rPr>
        <w:t>Author's collection (2026) Active Exclusive Exploration Licences for Uranium in the Stampriet Artesian Basin. Compiled against Ministry of Mines and Energy records as at 2 January 2026. Working dataset and accompanying map (Figure 6.3) held on file by the author.</w:t>
      </w:r>
    </w:p>
    <w:p>
      <w:pPr>
        <w:spacing w:after="120"/>
        <w:ind w:left="560" w:hanging="560"/>
      </w:pPr>
      <w:r>
        <w:rPr>
          <w:sz w:val="22"/>
        </w:rPr>
        <w:t>Barbour, R. (2007) Doing Focus Groups. London: Sage.</w:t>
      </w:r>
    </w:p>
    <w:p>
      <w:pPr>
        <w:spacing w:after="120"/>
        <w:ind w:left="560" w:hanging="560"/>
      </w:pPr>
      <w:r>
        <w:rPr>
          <w:sz w:val="22"/>
        </w:rPr>
        <w:t>Bäumle, R., Bittner, A. and others (2001) Hydrogeological Map of Namibia, scale 1:1,000,000, with accompanying volume 'Groundwater in Namibia'. Windhoek: Federal Institute for Geosciences and Natural Resources (BGR), Department of Water Affairs (DWA), Geological Survey of Namibia (GSN), and NamWater.</w:t>
      </w:r>
    </w:p>
    <w:p>
      <w:pPr>
        <w:spacing w:after="120"/>
        <w:ind w:left="560" w:hanging="560"/>
      </w:pPr>
      <w:r>
        <w:rPr>
          <w:sz w:val="22"/>
        </w:rPr>
        <w:t>Baxter, P. and Jack, S. (2008) 'Qualitative case study methodology: Study design and implementation for novice researchers', The Qualitative Report, 13(4), pp. 544–559. https://doi.org/10.46743/2160-3715/2008.1573</w:t>
      </w:r>
    </w:p>
    <w:p>
      <w:pPr>
        <w:spacing w:after="120"/>
        <w:ind w:left="560" w:hanging="560"/>
      </w:pPr>
      <w:r>
        <w:rPr>
          <w:sz w:val="22"/>
        </w:rPr>
        <w:t>Bebbington, A. and Bury, J. (eds.) (2013) Subterranean Struggles: New Dynamics of Mining, Oil, and Gas in Latin America. Austin: University of Texas Press.</w:t>
      </w:r>
    </w:p>
    <w:p>
      <w:pPr>
        <w:spacing w:after="120"/>
        <w:ind w:left="560" w:hanging="560"/>
      </w:pPr>
      <w:r>
        <w:rPr>
          <w:sz w:val="22"/>
        </w:rPr>
        <w:t>Bebbington, A. and Williams, M. (2008) 'Water and mining conflicts in Peru', Mountain Research and Development, 28(3/4), pp. 190–195.</w:t>
      </w:r>
    </w:p>
    <w:p>
      <w:pPr>
        <w:spacing w:after="120"/>
        <w:ind w:left="560" w:hanging="560"/>
      </w:pPr>
      <w:r>
        <w:rPr>
          <w:sz w:val="22"/>
        </w:rPr>
        <w:t>Bice, S. (2014) 'What gives you a social licence? An exploration of the social licence to operate in the Australian mining industry', Resources, 3(1), pp. 62–80.</w:t>
      </w:r>
    </w:p>
    <w:p>
      <w:pPr>
        <w:spacing w:after="120"/>
        <w:ind w:left="560" w:hanging="560"/>
      </w:pPr>
      <w:r>
        <w:rPr>
          <w:sz w:val="22"/>
        </w:rPr>
        <w:t>Bice, S., Brueckner, M. and Pforr, C. (2017) 'Putting social license to operate on the map: A social, actuarial and political risk and licensing model (SAP Model)', Resources Policy, 53, pp. 46–55.</w:t>
      </w:r>
    </w:p>
    <w:p>
      <w:pPr>
        <w:spacing w:after="120"/>
        <w:ind w:left="560" w:hanging="560"/>
      </w:pPr>
      <w:r>
        <w:rPr>
          <w:sz w:val="22"/>
        </w:rPr>
        <w:t>Boutilier, R.G. (2014) 'Frequently asked questions about the social licence to operate', Impact Assessment and Project Appraisal, 32(4), pp. 263–272.</w:t>
      </w:r>
    </w:p>
    <w:p>
      <w:pPr>
        <w:spacing w:after="120"/>
        <w:ind w:left="560" w:hanging="560"/>
      </w:pPr>
      <w:r>
        <w:rPr>
          <w:sz w:val="22"/>
        </w:rPr>
        <w:t>Braun, V. and Clarke, V. (2006) 'Using thematic analysis in psychology', Qualitative Research in Psychology, 3(2), pp. 77–101. https://doi.org/10.1191/1478088706qp063oa</w:t>
      </w:r>
    </w:p>
    <w:p>
      <w:pPr>
        <w:spacing w:after="120"/>
        <w:ind w:left="560" w:hanging="560"/>
      </w:pPr>
      <w:r>
        <w:rPr>
          <w:sz w:val="22"/>
        </w:rPr>
        <w:t>Braun, V. and Clarke, V. (2022) Thematic Analysis: A Practical Guide. London: Sage.</w:t>
      </w:r>
    </w:p>
    <w:p>
      <w:pPr>
        <w:spacing w:after="120"/>
        <w:ind w:left="560" w:hanging="560"/>
      </w:pPr>
      <w:r>
        <w:rPr>
          <w:sz w:val="22"/>
        </w:rPr>
        <w:t>Bridge, G. (2004) 'Mapping the bonanza: Geographies of mining investment in an era of neoliberal reform', The Professional Geographer, 56(3), pp. 406–421.</w:t>
      </w:r>
    </w:p>
    <w:p>
      <w:pPr>
        <w:spacing w:after="120"/>
        <w:ind w:left="560" w:hanging="560"/>
      </w:pPr>
      <w:r>
        <w:rPr>
          <w:sz w:val="22"/>
        </w:rPr>
        <w:t>Brown, C. and Shipena, T. (2024) 'Is Russia poisoning Namibia's water in its hunt for uranium?', Al Jazeera, 27 November. Available at: https://www.aljazeera.com/features/2024/11/27/russia-woos-namibia-to-mine-uranium-sparking-water-safety-fears (Accessed: 25 May 2026).</w:t>
      </w:r>
    </w:p>
    <w:p>
      <w:pPr>
        <w:spacing w:after="120"/>
        <w:ind w:left="560" w:hanging="560"/>
      </w:pPr>
      <w:r>
        <w:rPr>
          <w:sz w:val="22"/>
        </w:rPr>
        <w:t>Brugge, D. and Goble, R. (2002) 'The history of uranium mining and the Navajo people', American Journal of Public Health, 92(9), pp. 1410–1419.</w:t>
      </w:r>
    </w:p>
    <w:p>
      <w:pPr>
        <w:spacing w:after="120"/>
        <w:ind w:left="560" w:hanging="560"/>
      </w:pPr>
      <w:r>
        <w:rPr>
          <w:sz w:val="22"/>
        </w:rPr>
        <w:t>Capps, G. and Mnwana, S. (2015) 'Claims from below: platinum and the politics of land in the Bakgatla-ba-Kgafela traditional authority area', Review of African Political Economy, 42(146), pp. 606–624.</w:t>
      </w:r>
    </w:p>
    <w:p>
      <w:pPr>
        <w:spacing w:after="120"/>
        <w:ind w:left="560" w:hanging="560"/>
      </w:pPr>
      <w:r>
        <w:rPr>
          <w:sz w:val="22"/>
        </w:rPr>
        <w:t>Carmody, P. (2016) The New Scramble for Africa. 2nd edn. Cambridge: Polity Press.</w:t>
      </w:r>
    </w:p>
    <w:p>
      <w:pPr>
        <w:spacing w:after="120"/>
        <w:ind w:left="560" w:hanging="560"/>
      </w:pPr>
      <w:r>
        <w:rPr>
          <w:sz w:val="22"/>
        </w:rPr>
        <w:t>Carnie, T. (2026) 'Russia's controversial uranium mining plan threatens southern Africa's vital aquifer', Daily Maverick, 17 May. Available at: https://www.dailymaverick.co.za/article/2026-05-17-russias-controversial-uranium-mining-plan-threatens-southern-africas-vital-aquifer/ (Accessed: 25 May 2026).</w:t>
      </w:r>
    </w:p>
    <w:p>
      <w:pPr>
        <w:spacing w:after="120"/>
        <w:ind w:left="560" w:hanging="560"/>
      </w:pPr>
      <w:r>
        <w:rPr>
          <w:sz w:val="22"/>
        </w:rPr>
        <w:t>Charmaz, K. (2014) Constructing Grounded Theory. 2nd edn. London: Sage.</w:t>
      </w:r>
    </w:p>
    <w:p>
      <w:pPr>
        <w:spacing w:after="120"/>
        <w:ind w:left="560" w:hanging="560"/>
      </w:pPr>
      <w:r>
        <w:rPr>
          <w:sz w:val="22"/>
        </w:rPr>
        <w:t>Cirrus Capital (2026) Economic Impact Assessment of In-Situ Uranium Mining in the Stampriet Aquifer Region. Prepared for the Stampriet Aquifer Uranium Mining Association (SAUMA). Windhoek: Cirrus Capital, April 2026.</w:t>
      </w:r>
    </w:p>
    <w:p>
      <w:pPr>
        <w:spacing w:after="120"/>
        <w:ind w:left="560" w:hanging="560"/>
      </w:pPr>
      <w:r>
        <w:rPr>
          <w:sz w:val="22"/>
        </w:rPr>
        <w:t>Committee on Economic, Social and Cultural Rights [CESCR] (2002) General Comment No. 15: The right to water (arts. 11 and 12 of the International Covenant on Economic, Social and Cultural Rights). UN Doc E/C.12/2002/11. Geneva: United Nations.</w:t>
      </w:r>
    </w:p>
    <w:p>
      <w:pPr>
        <w:spacing w:after="120"/>
        <w:ind w:left="560" w:hanging="560"/>
      </w:pPr>
      <w:r>
        <w:rPr>
          <w:sz w:val="22"/>
        </w:rPr>
        <w:t>Conde, M. and Le Billon, P. (2017) 'Why do some communities resist mining projects while others do not?', The Extractive Industries and Society, 4(3), pp. 681–697.</w:t>
      </w:r>
    </w:p>
    <w:p>
      <w:pPr>
        <w:spacing w:after="120"/>
        <w:ind w:left="560" w:hanging="560"/>
      </w:pPr>
      <w:r>
        <w:rPr>
          <w:sz w:val="22"/>
        </w:rPr>
        <w:t>The Conversation (2025) 'Giant freshwater aquifer in southern Africa is under threat from mining', The Conversation, January. Available at: https://theconversation.com/giant-freshwater-aquifer-in-southern-africa-is-under-threat-from-mining-232183 (Accessed: 25 May 2026).</w:t>
      </w:r>
    </w:p>
    <w:p>
      <w:pPr>
        <w:spacing w:after="120"/>
        <w:ind w:left="560" w:hanging="560"/>
      </w:pPr>
      <w:r>
        <w:rPr>
          <w:sz w:val="22"/>
        </w:rPr>
        <w:t>Cooney, J. (2017) 'Reflections on the 20th anniversary of the term "social licence"', Journal of Energy and Natural Resources Law, 35(2), pp. 197–200.</w:t>
      </w:r>
    </w:p>
    <w:p>
      <w:pPr>
        <w:spacing w:after="120"/>
        <w:ind w:left="560" w:hanging="560"/>
      </w:pPr>
      <w:r>
        <w:rPr>
          <w:sz w:val="22"/>
        </w:rPr>
        <w:t>Crotty, M. (1998) The Foundations of Social Research: Meaning and Perspective in the Research Process. London: Sage.</w:t>
      </w:r>
    </w:p>
    <w:p>
      <w:pPr>
        <w:spacing w:after="120"/>
        <w:ind w:left="560" w:hanging="560"/>
      </w:pPr>
      <w:r>
        <w:rPr>
          <w:sz w:val="22"/>
        </w:rPr>
        <w:t>Devine-Wright, P. (2009) 'Rethinking NIMBYism: The role of place attachment and place identity in explaining place-protective action', Journal of Community and Applied Social Psychology, 19(6), pp. 426–441.</w:t>
      </w:r>
    </w:p>
    <w:p>
      <w:pPr>
        <w:spacing w:after="120"/>
        <w:ind w:left="560" w:hanging="560"/>
      </w:pPr>
      <w:r>
        <w:rPr>
          <w:sz w:val="22"/>
        </w:rPr>
        <w:t>DiCicco-Bloom, B. and Crabtree, B.F. (2006) 'The qualitative research interview', Medical Education, 40(4), pp. 314–321. https://doi.org/10.1111/j.1365-2929.2006.02418.x</w:t>
      </w:r>
    </w:p>
    <w:p>
      <w:pPr>
        <w:spacing w:after="120"/>
        <w:ind w:left="560" w:hanging="560"/>
      </w:pPr>
      <w:r>
        <w:rPr>
          <w:sz w:val="22"/>
        </w:rPr>
        <w:t>Dieckmann, U., Thiem, M., Dirkx, E. and Hays, J. (eds.) (2014) 'Scraping the Pot': San in Namibia Two Decades After Independence. Windhoek: Legal Assistance Centre and Desert Research Foundation of Namibia.</w:t>
      </w:r>
    </w:p>
    <w:p>
      <w:pPr>
        <w:spacing w:after="120"/>
        <w:ind w:left="560" w:hanging="560"/>
      </w:pPr>
      <w:r>
        <w:rPr>
          <w:sz w:val="22"/>
        </w:rPr>
        <w:t>Dirkx, E. and Thiem, M. (2014) 'Chapter 4: Omaheke Region', in Dieckmann, U., Thiem, M., Dirkx, E. and Hays, J. (eds.) 'Scraping the Pot': San in Namibia Two Decades After Independence. Windhoek: Legal Assistance Centre and Desert Research Foundation of Namibia, pp. 39–142.</w:t>
      </w:r>
    </w:p>
    <w:p>
      <w:pPr>
        <w:spacing w:after="120"/>
        <w:ind w:left="560" w:hanging="560"/>
      </w:pPr>
      <w:r>
        <w:rPr>
          <w:sz w:val="22"/>
        </w:rPr>
        <w:t>Eckstein, G. (2017) The International Law of Transboundary Groundwater Resources. London: Routledge.</w:t>
      </w:r>
    </w:p>
    <w:p>
      <w:pPr>
        <w:spacing w:after="120"/>
        <w:ind w:left="560" w:hanging="560"/>
      </w:pPr>
      <w:r>
        <w:rPr>
          <w:sz w:val="22"/>
        </w:rPr>
        <w:t>Ehrnström-Fuentes, M. (2016) 'Delinking legitimacies: A pluriversal perspective on political CSR', Journal of Management Studies, 53(3), pp. 433–462.</w:t>
      </w:r>
    </w:p>
    <w:p>
      <w:pPr>
        <w:spacing w:after="120"/>
        <w:ind w:left="560" w:hanging="560"/>
      </w:pPr>
      <w:r>
        <w:rPr>
          <w:sz w:val="22"/>
        </w:rPr>
        <w:t>Environmental Assessment Professionals Association of Namibia [EAPAN], Namibian Chamber of Environment [NCE] and Namibian Environment and Wildlife Society [NEWS] (2026) EIA Insights, Issue 1, March 2026. Newsletter for Namibian Environmental Assessment Practitioners and other stakeholders. Windhoek: EAPAN / NCE / NEWS.</w:t>
      </w:r>
    </w:p>
    <w:p>
      <w:pPr>
        <w:spacing w:after="120"/>
        <w:ind w:left="560" w:hanging="560"/>
      </w:pPr>
      <w:r>
        <w:rPr>
          <w:sz w:val="22"/>
        </w:rPr>
        <w:t>Extractive Industries Transparency Initiative [EITI] (2023) The EITI Standard 2023. Oslo: EITI International Secretariat. Available at: https://eiti.org/eiti-standard (Accessed: 27 May 2026).</w:t>
      </w:r>
    </w:p>
    <w:p>
      <w:pPr>
        <w:spacing w:after="120"/>
        <w:ind w:left="560" w:hanging="560"/>
      </w:pPr>
      <w:r>
        <w:rPr>
          <w:sz w:val="22"/>
        </w:rPr>
        <w:t>The Extractor Magazine (2023) 'Omaheke uranium mining will contaminate aquifer water: Geologist tells Tweya and Parliamentary Standing Committee on Natural Resources', The Extractor Magazine, 19 November. Available at: https://theextractormagazine.com/2023/11/19/omaheke-uranium-mining-will-contaminate-aquifer-water-geologist-tells-tweya-parliamentary-standing-committee-on-natural-resources/ (Accessed: 25 May 2026).</w:t>
      </w:r>
    </w:p>
    <w:p>
      <w:pPr>
        <w:spacing w:after="120"/>
        <w:ind w:left="560" w:hanging="560"/>
      </w:pPr>
      <w:r>
        <w:rPr>
          <w:sz w:val="22"/>
        </w:rPr>
        <w:t>The Extractor Magazine (2024) 'Stampriet Aquifer System: Where emotions defeat science', The Extractor Magazine, 8 July. Available at: https://theextractormagazine.com/2024/07/08/stampriet-where-emotions-defeat-science/ (Accessed: 25 May 2026).</w:t>
      </w:r>
    </w:p>
    <w:p>
      <w:pPr>
        <w:spacing w:after="120"/>
        <w:ind w:left="560" w:hanging="560"/>
      </w:pPr>
      <w:r>
        <w:rPr>
          <w:sz w:val="22"/>
        </w:rPr>
        <w:t>Finlay, L. (2002) 'Negotiating the swamp: The opportunity and challenge of reflexivity in research practice', Qualitative Research, 2(2), pp. 209–230. https://doi.org/10.1177/146879410200200205</w:t>
      </w:r>
    </w:p>
    <w:p>
      <w:pPr>
        <w:spacing w:after="120"/>
        <w:ind w:left="560" w:hanging="560"/>
      </w:pPr>
      <w:r>
        <w:rPr>
          <w:sz w:val="22"/>
        </w:rPr>
        <w:t>Frynas, J.G. (2009) Beyond Corporate Social Responsibility: Oil Multinationals and Social Challenges. Cambridge: Cambridge University Press.</w:t>
      </w:r>
    </w:p>
    <w:p>
      <w:pPr>
        <w:spacing w:after="120"/>
        <w:ind w:left="560" w:hanging="560"/>
      </w:pPr>
      <w:r>
        <w:rPr>
          <w:sz w:val="22"/>
        </w:rPr>
        <w:t>Gehman, J., Lefsrud, L.M. and Lounsbury, M. (2017) 'Social license to operate: Legitimacy by another name?', Canadian Public Administration, 60(2), pp. 293–317.</w:t>
      </w:r>
    </w:p>
    <w:p>
      <w:pPr>
        <w:spacing w:after="120"/>
        <w:ind w:left="560" w:hanging="560"/>
      </w:pPr>
      <w:r>
        <w:rPr>
          <w:sz w:val="22"/>
        </w:rPr>
        <w:t>Green Mining (Pty) Ltd (2021) Environmental Management Plan (EMP) Report to Support the Application for Environmental Clearance Certificate (ECC) for the Proposed Minerals Exploration / Prospecting Activities in the Exclusive Prospecting Licence (EPL) No. 7823, Hardap Region. March 2021. Windhoek: Green Mining (Pty) Ltd.</w:t>
      </w:r>
    </w:p>
    <w:p>
      <w:pPr>
        <w:spacing w:after="120"/>
        <w:ind w:left="560" w:hanging="560"/>
      </w:pPr>
      <w:r>
        <w:rPr>
          <w:sz w:val="22"/>
        </w:rPr>
        <w:t>Green Mining (Pty) Ltd (2025) Updated Environmental Management Plan — Exploration Activities on Exclusive Prospecting Licence (EPL) No. 7830, //Karas Region. Renewal of the Environmental Clearance Certificate. Windhoek: Green Mining (Pty) Ltd.</w:t>
      </w:r>
    </w:p>
    <w:p>
      <w:pPr>
        <w:spacing w:after="120"/>
        <w:ind w:left="560" w:hanging="560"/>
      </w:pPr>
      <w:r>
        <w:rPr>
          <w:sz w:val="22"/>
        </w:rPr>
        <w:t>Gross, C. (2007) 'Community perspectives of wind energy in Australia: The application of a justice and community fairness framework to increase social acceptance', Energy Policy, 35(5), pp. 2727–2736.</w:t>
      </w:r>
    </w:p>
    <w:p>
      <w:pPr>
        <w:spacing w:after="120"/>
        <w:ind w:left="560" w:hanging="560"/>
      </w:pPr>
      <w:r>
        <w:rPr>
          <w:sz w:val="22"/>
        </w:rPr>
        <w:t>Guba, E.G. and Lincoln, Y.S. (1994) 'Competing paradigms in qualitative research', in Denzin, N.K. and Lincoln, Y.S. (eds) Handbook of Qualitative Research. Thousand Oaks: Sage, pp. 105–117.</w:t>
      </w:r>
    </w:p>
    <w:p>
      <w:pPr>
        <w:spacing w:after="120"/>
        <w:ind w:left="560" w:hanging="560"/>
      </w:pPr>
      <w:r>
        <w:rPr>
          <w:sz w:val="22"/>
        </w:rPr>
        <w:t>Guest, G., Bunce, A. and Johnson, L. (2006) 'How many interviews are enough? An experiment with data saturation and variability', Field Methods, 18(1), pp. 59–82. https://doi.org/10.1177/1525822X05279903</w:t>
      </w:r>
    </w:p>
    <w:p>
      <w:pPr>
        <w:spacing w:after="120"/>
        <w:ind w:left="560" w:hanging="560"/>
      </w:pPr>
      <w:r>
        <w:rPr>
          <w:sz w:val="22"/>
        </w:rPr>
        <w:t>Gunningham, N., Kagan, R.A. and Thornton, D. (2004) 'Social license and environmental protection: why businesses go beyond compliance', Law and Social Inquiry, 29(2), pp. 307–341.</w:t>
      </w:r>
    </w:p>
    <w:p>
      <w:pPr>
        <w:spacing w:after="120"/>
        <w:ind w:left="560" w:hanging="560"/>
      </w:pPr>
      <w:r>
        <w:rPr>
          <w:sz w:val="22"/>
        </w:rPr>
        <w:t>Hanna, P., Vanclay, F., Langdon, E.J. and Arts, J. (2016) 'Conceptualizing social protest and the significance of protest actions to large projects', The Extractive Industries and Society, 3(1), pp. 217–239.</w:t>
      </w:r>
    </w:p>
    <w:p>
      <w:pPr>
        <w:spacing w:after="120"/>
        <w:ind w:left="560" w:hanging="560"/>
      </w:pPr>
      <w:r>
        <w:rPr>
          <w:sz w:val="22"/>
        </w:rPr>
        <w:t>Headspring Investments (2024a) Frequently Asked Questions. Project Wings corporate website. Available at: https://headspringinvestments.com/faq/ (Accessed: 25 May 2026).</w:t>
      </w:r>
    </w:p>
    <w:p>
      <w:pPr>
        <w:spacing w:after="120"/>
        <w:ind w:left="560" w:hanging="560"/>
      </w:pPr>
      <w:r>
        <w:rPr>
          <w:sz w:val="22"/>
        </w:rPr>
        <w:t>Headspring Investments (2024b) Statement from Headspring Investments in response to Minister Calle Schlettwein's answers in parliament. Press release, March. Available at: https://headspringinvestments.com/news/statement-from-headspring-investments-in-response-to-minister-calle-schlettwein-s-answers-in-parliament/ (Accessed: 25 May 2026).</w:t>
      </w:r>
    </w:p>
    <w:p>
      <w:pPr>
        <w:spacing w:after="120"/>
        <w:ind w:left="560" w:hanging="560"/>
      </w:pPr>
      <w:r>
        <w:rPr>
          <w:sz w:val="22"/>
        </w:rPr>
        <w:t>Hilson, G. (2012) 'Corporate social responsibility in the extractive industries: Experiences from developing countries', Resources Policy, 37(2), pp. 131–137.</w:t>
      </w:r>
    </w:p>
    <w:p>
      <w:pPr>
        <w:spacing w:after="120"/>
        <w:ind w:left="560" w:hanging="560"/>
      </w:pPr>
      <w:r>
        <w:rPr>
          <w:sz w:val="22"/>
        </w:rPr>
        <w:t>Hinz, M.O. and Gairiseb, A. (eds) (2016) Customary Law Ascertained Volume 3: The Customary Law of the Nama, Ovaherero, Ovambanderu and San Communities of Namibia. Windhoek: University of Namibia Press.</w:t>
      </w:r>
    </w:p>
    <w:p>
      <w:pPr>
        <w:spacing w:after="120"/>
        <w:ind w:left="560" w:hanging="560"/>
      </w:pPr>
      <w:r>
        <w:rPr>
          <w:sz w:val="22"/>
        </w:rPr>
        <w:t>Hladunyak, R. (2024) Uraplant Mining (Pty) Ltd — director identification. Facebook video, 2024, held on file by author.</w:t>
      </w:r>
    </w:p>
    <w:p>
      <w:pPr>
        <w:spacing w:after="120"/>
        <w:ind w:left="560" w:hanging="560"/>
      </w:pPr>
      <w:r>
        <w:rPr>
          <w:sz w:val="22"/>
        </w:rPr>
        <w:t>Hsieh, H.-F. and Shannon, S.E. (2005) 'Three approaches to qualitative content analysis', Qualitative Health Research, 15(9), pp. 1277–1288. https://doi.org/10.1177/1049732305276687</w:t>
      </w:r>
    </w:p>
    <w:p>
      <w:pPr>
        <w:spacing w:after="120"/>
        <w:ind w:left="560" w:hanging="560"/>
      </w:pPr>
      <w:r>
        <w:rPr>
          <w:sz w:val="22"/>
        </w:rPr>
        <w:t>Informanté (2024) 'SAUMA warns of uranium mining threat to Stampriet water', Informanté, March. Available at: https://informante.web.na/?p=392289 (Accessed: 25 May 2026).</w:t>
      </w:r>
    </w:p>
    <w:p>
      <w:pPr>
        <w:spacing w:after="120"/>
        <w:ind w:left="560" w:hanging="560"/>
      </w:pPr>
      <w:r>
        <w:rPr>
          <w:sz w:val="22"/>
        </w:rPr>
        <w:t>International Atomic Energy Agency [IAEA] (2016) In Situ Leach Uranium Mining: An Overview of Operations. IAEA Nuclear Energy Series No. NF-T-1.4. Vienna: IAEA.</w:t>
      </w:r>
    </w:p>
    <w:p>
      <w:pPr>
        <w:spacing w:after="120"/>
        <w:ind w:left="560" w:hanging="560"/>
      </w:pPr>
      <w:r>
        <w:rPr>
          <w:sz w:val="22"/>
        </w:rPr>
        <w:t>International Council on Mining and Metals [ICMM] (2013) Position Statement on Indigenous Peoples and Mining. London: ICMM.</w:t>
      </w:r>
    </w:p>
    <w:p>
      <w:pPr>
        <w:spacing w:after="120"/>
        <w:ind w:left="560" w:hanging="560"/>
      </w:pPr>
      <w:r>
        <w:rPr>
          <w:sz w:val="22"/>
        </w:rPr>
        <w:t>International Finance Corporation [IFC] (2012) Performance Standard 7: Indigenous Peoples. Washington, DC: World Bank Group International Finance Corporation.</w:t>
      </w:r>
    </w:p>
    <w:p>
      <w:pPr>
        <w:spacing w:after="120"/>
        <w:ind w:left="560" w:hanging="560"/>
      </w:pPr>
      <w:r>
        <w:rPr>
          <w:sz w:val="22"/>
        </w:rPr>
        <w:t>International Groundwater Resources Assessment Centre [IGRAC] (2024) Plans for uranium in-situ leach mining in Namibia's largest transboundary aquifer. IGRAC news article, June. Available at: https://un-igrac.org/latest/stories/plans-for-uranium-in-situ-leach-mining-in-namibias-largest-transboundary-aquifer/ (Accessed: 25 May 2026).</w:t>
      </w:r>
    </w:p>
    <w:p>
      <w:pPr>
        <w:spacing w:after="120"/>
        <w:ind w:left="560" w:hanging="560"/>
      </w:pPr>
      <w:r>
        <w:rPr>
          <w:sz w:val="22"/>
        </w:rPr>
        <w:t>International Labour Organization [ILO] (1989) Convention No. 169 concerning Indigenous and Tribal Peoples in Independent Countries (ILO C169). Geneva: ILO.</w:t>
      </w:r>
    </w:p>
    <w:p>
      <w:pPr>
        <w:spacing w:after="120"/>
        <w:ind w:left="560" w:hanging="560"/>
      </w:pPr>
      <w:r>
        <w:rPr>
          <w:sz w:val="22"/>
        </w:rPr>
        <w:t>International Law Commission [ILC] (2008) Draft Articles on the Law of Transboundary Aquifers. UN Doc A/63/10. New York: United Nations General Assembly, Sixty-third session, Supplement No. 10.</w:t>
      </w:r>
    </w:p>
    <w:p>
      <w:pPr>
        <w:spacing w:after="120"/>
        <w:ind w:left="560" w:hanging="560"/>
      </w:pPr>
      <w:r>
        <w:rPr>
          <w:sz w:val="22"/>
        </w:rPr>
        <w:t>Israel, M. and Hay, I. (2006) Research Ethics for Social Scientists. London: Sage.</w:t>
      </w:r>
    </w:p>
    <w:p>
      <w:pPr>
        <w:spacing w:after="120"/>
        <w:ind w:left="560" w:hanging="560"/>
      </w:pPr>
      <w:r>
        <w:rPr>
          <w:sz w:val="22"/>
        </w:rPr>
        <w:t>Joel, L. (2014) Hydrogeology Data Harmonization Report — GGRETA Project, Stampriet TBA Case Study, Country: Namibia. Geneva: UNESCO International Hydrological Programme (UNESCO-IHP) / International Groundwater Resources Assessment Centre (IGRAC), funded by the Swiss Agency for Development and Cooperation (SDC).</w:t>
      </w:r>
    </w:p>
    <w:p>
      <w:pPr>
        <w:spacing w:after="120"/>
        <w:ind w:left="560" w:hanging="560"/>
      </w:pPr>
      <w:r>
        <w:rPr>
          <w:sz w:val="22"/>
        </w:rPr>
        <w:t>Kemp, D., Bond, C.J., Franks, D.M. and Côté, C. (2010) 'Mining, water and human rights: making the connection', Journal of Cleaner Production, 18(15), pp. 1553–1562.</w:t>
      </w:r>
    </w:p>
    <w:p>
      <w:pPr>
        <w:spacing w:after="120"/>
        <w:ind w:left="560" w:hanging="560"/>
      </w:pPr>
      <w:r>
        <w:rPr>
          <w:sz w:val="22"/>
        </w:rPr>
        <w:t>Keulder, C. (2026a) Content Analysis of the Parliamentary Standing Committee on Natural Resources Report on Headspring Investments/Rosatom ISR Project. Survey Warehouse Working Paper WP 2026/01. Windhoek: Survey Warehouse.</w:t>
      </w:r>
    </w:p>
    <w:p>
      <w:pPr>
        <w:spacing w:after="120"/>
        <w:ind w:left="560" w:hanging="560"/>
      </w:pPr>
      <w:r>
        <w:rPr>
          <w:sz w:val="22"/>
        </w:rPr>
        <w:t>Keulder, C. (2026b) Oversight or Advocacy? Standing Committee Reports in Namibia and the Exceptionalism of the Headspring/STAS Report. Survey Warehouse Working Paper WP 2026/02. Windhoek: Survey Warehouse.</w:t>
      </w:r>
    </w:p>
    <w:p>
      <w:pPr>
        <w:spacing w:after="120"/>
        <w:ind w:left="560" w:hanging="560"/>
      </w:pPr>
      <w:r>
        <w:rPr>
          <w:sz w:val="22"/>
        </w:rPr>
        <w:t>Keulder, C. (2026c) Farmers' Perceptions of In-Situ Uranium Mining and Groundwater Risk in the Stampriet Aquifer Region. Unpublished report, 16 March 2026.</w:t>
      </w:r>
    </w:p>
    <w:p>
      <w:pPr>
        <w:spacing w:after="120"/>
        <w:ind w:left="560" w:hanging="560"/>
      </w:pPr>
      <w:r>
        <w:rPr>
          <w:sz w:val="22"/>
        </w:rPr>
        <w:t>Kirchner, J., Tredoux, G., Wierenga, A. and Christelis, G. (2002) Assessment of the Recharge to the Stampriet Artesian Basin to Formulate a Groundwater Management Plan for Sustainable Use of the Resource in the Southeast Kalahari in the Republic of Namibia. IAEA Project RAF/8/029: Sustainable Development of Groundwater Resources in the Africa Region. Vienna: International Atomic Energy Agency.</w:t>
      </w:r>
    </w:p>
    <w:p>
      <w:pPr>
        <w:spacing w:after="120"/>
        <w:ind w:left="560" w:hanging="560"/>
      </w:pPr>
      <w:r>
        <w:rPr>
          <w:sz w:val="22"/>
        </w:rPr>
        <w:t>Kirsch, S. (2014) Mining Capitalism: The Relationship between Corporations and their Critics. Berkeley: University of California Press.</w:t>
      </w:r>
    </w:p>
    <w:p>
      <w:pPr>
        <w:spacing w:after="120"/>
        <w:ind w:left="560" w:hanging="560"/>
      </w:pPr>
      <w:r>
        <w:rPr>
          <w:sz w:val="22"/>
        </w:rPr>
        <w:t>Kitzinger, J. (1995) 'Qualitative research: Introducing focus groups', BMJ, 311(7000), pp. 299–302. https://doi.org/10.1136/bmj.311.7000.299</w:t>
      </w:r>
    </w:p>
    <w:p>
      <w:pPr>
        <w:spacing w:after="120"/>
        <w:ind w:left="560" w:hanging="560"/>
      </w:pPr>
      <w:r>
        <w:rPr>
          <w:sz w:val="22"/>
        </w:rPr>
        <w:t>Kvale, S. and Brinkmann, S. (2015) InterViews: Learning the Craft of Qualitative Research Interviewing. 3rd edn. Thousand Oaks: Sage.</w:t>
      </w:r>
    </w:p>
    <w:p>
      <w:pPr>
        <w:spacing w:after="120"/>
        <w:ind w:left="560" w:hanging="560"/>
      </w:pPr>
      <w:r>
        <w:rPr>
          <w:sz w:val="22"/>
        </w:rPr>
        <w:t>Lacey, J. and Lamont, J. (2014) 'Using social contract to inform social licence to operate: an application in the Australian coal seam gas industry', Journal of Cleaner Production, 84, pp. 831–839.</w:t>
      </w:r>
    </w:p>
    <w:p>
      <w:pPr>
        <w:spacing w:after="120"/>
        <w:ind w:left="560" w:hanging="560"/>
      </w:pPr>
      <w:r>
        <w:rPr>
          <w:sz w:val="22"/>
        </w:rPr>
        <w:t>Le Billon, P. (2012) Wars of Plunder: Conflicts, Profits and the Politics of Resources. New York: Columbia University Press.</w:t>
      </w:r>
    </w:p>
    <w:p>
      <w:pPr>
        <w:spacing w:after="120"/>
        <w:ind w:left="560" w:hanging="560"/>
      </w:pPr>
      <w:r>
        <w:rPr>
          <w:sz w:val="22"/>
        </w:rPr>
        <w:t>Levi-Faur, D. (ed.) (2011) Handbook on the Politics of Regulation. Cheltenham: Edward Elgar.</w:t>
      </w:r>
    </w:p>
    <w:p>
      <w:pPr>
        <w:spacing w:after="120"/>
        <w:ind w:left="560" w:hanging="560"/>
      </w:pPr>
      <w:r>
        <w:rPr>
          <w:sz w:val="22"/>
        </w:rPr>
        <w:t>Lincoln, Y.S. and Guba, E.G. (1985) Naturalistic Inquiry. Beverly Hills: Sage.</w:t>
      </w:r>
    </w:p>
    <w:p>
      <w:pPr>
        <w:spacing w:after="120"/>
        <w:ind w:left="560" w:hanging="560"/>
      </w:pPr>
      <w:r>
        <w:rPr>
          <w:sz w:val="22"/>
        </w:rPr>
        <w:t>McCaffrey, S.C. (2019) The Law of International Watercourses. 3rd edn. Oxford: Oxford University Press.</w:t>
      </w:r>
    </w:p>
    <w:p>
      <w:pPr>
        <w:spacing w:after="120"/>
        <w:ind w:left="560" w:hanging="560"/>
      </w:pPr>
      <w:r>
        <w:rPr>
          <w:sz w:val="22"/>
        </w:rPr>
        <w:t>Mendelsohn, J., Jarvis, A., Roberts, C. and Robertson, T. (2002) Atlas of Namibia: A Portrait of the Land and its People. Cape Town: David Philip.</w:t>
      </w:r>
    </w:p>
    <w:p>
      <w:pPr>
        <w:spacing w:after="120"/>
        <w:ind w:left="560" w:hanging="560"/>
      </w:pPr>
      <w:r>
        <w:rPr>
          <w:sz w:val="22"/>
        </w:rPr>
        <w:t>Miller, R. (2022) The Stampriet Artesian Basin and uranium in-situ leach mining: Hydrogeological considerations. Presentation to the SADC Groundwater Management Institute (SADC-GMI) Conference, Windhoek, November. Available at: https://conference.sadc-gmi.org/wp-content/uploads/2022/12/Dr-Roy-Miller-Presentation-for-SADC-GMI-Conference.pdf (Accessed: 25 May 2026).</w:t>
      </w:r>
    </w:p>
    <w:p>
      <w:pPr>
        <w:spacing w:after="120"/>
        <w:ind w:left="560" w:hanging="560"/>
      </w:pPr>
      <w:r>
        <w:rPr>
          <w:sz w:val="22"/>
        </w:rPr>
        <w:t>Ministry of Agriculture, Water and Land Reform [MAWLR] (2021) Compliance Monitoring for the Drilling of Exploration and Hydrogeological Study Boreholes by Headspring Investment in the Windhoek-Gobabis-Mariental-Keetmanshoop Artesian Water Control Area, Leonardville — Feedback Report, 25 October 2021. Windhoek: MAWLR, Department of Water Affairs.</w:t>
      </w:r>
    </w:p>
    <w:p>
      <w:pPr>
        <w:spacing w:after="120"/>
        <w:ind w:left="560" w:hanging="560"/>
      </w:pPr>
      <w:r>
        <w:rPr>
          <w:sz w:val="22"/>
        </w:rPr>
        <w:t>Ministry of Agriculture, Water and Land Reform [MAWLR] (2021b) Letter to Headspring Investments (Pty) Ltd: Non-compliance with permit conditions; permits 11561 and 11562 withdrawn. Reference: PL General/PR General Namibia, 9 November 2021. Windhoek: MAWLR.</w:t>
      </w:r>
    </w:p>
    <w:p>
      <w:pPr>
        <w:spacing w:after="120"/>
        <w:ind w:left="560" w:hanging="560"/>
      </w:pPr>
      <w:r>
        <w:rPr>
          <w:sz w:val="22"/>
        </w:rPr>
        <w:t>Ministry of Mines and Energy [MME] (2025) Licence Contacts — Exclusive Prospecting Licence Register. MME Landfolio Namibia Production, 4 March 2025. Windhoek: Ministry of Mines and Energy. Held on file by the author.</w:t>
      </w:r>
    </w:p>
    <w:p>
      <w:pPr>
        <w:spacing w:after="120"/>
        <w:ind w:left="560" w:hanging="560"/>
      </w:pPr>
      <w:r>
        <w:rPr>
          <w:sz w:val="22"/>
        </w:rPr>
        <w:t>Mnwana, S. (2015) 'Mining and "community" struggles on the platinum belt: A case of Sefikile village in the North West Province, South Africa', The Extractive Industries and Society, 2(3), pp. 500–508.</w:t>
      </w:r>
    </w:p>
    <w:p>
      <w:pPr>
        <w:spacing w:after="120"/>
        <w:ind w:left="560" w:hanging="560"/>
      </w:pPr>
      <w:r>
        <w:rPr>
          <w:sz w:val="22"/>
        </w:rPr>
        <w:t>Moffat, K. and Zhang, A. (2014) 'The paths to social licence to operate: An integrative model explaining community acceptance of mining', Resources Policy, 39, pp. 61–70.</w:t>
      </w:r>
    </w:p>
    <w:p>
      <w:pPr>
        <w:spacing w:after="120"/>
        <w:ind w:left="560" w:hanging="560"/>
      </w:pPr>
      <w:r>
        <w:rPr>
          <w:sz w:val="22"/>
        </w:rPr>
        <w:t>Morgan, D.L. (1997) Focus Groups as Qualitative Research. 2nd edn. Thousand Oaks: Sage.</w:t>
      </w:r>
    </w:p>
    <w:p>
      <w:pPr>
        <w:spacing w:after="120"/>
        <w:ind w:left="560" w:hanging="560"/>
      </w:pPr>
      <w:r>
        <w:rPr>
          <w:sz w:val="22"/>
        </w:rPr>
        <w:t>Mostert, H. (2014) Mineral Law: Principles and Policy in Perspective. Cape Town: Juta.</w:t>
      </w:r>
    </w:p>
    <w:p>
      <w:pPr>
        <w:spacing w:after="120"/>
        <w:ind w:left="560" w:hanging="560"/>
      </w:pPr>
      <w:r>
        <w:rPr>
          <w:sz w:val="22"/>
        </w:rPr>
        <w:t>Mudd, G.M. (2014) 'The future of yellowcake: A global assessment of uranium resources and mining', Science of the Total Environment, 472, pp. 590–607.</w:t>
      </w:r>
    </w:p>
    <w:p>
      <w:pPr>
        <w:spacing w:after="120"/>
        <w:ind w:left="560" w:hanging="560"/>
      </w:pPr>
      <w:r>
        <w:rPr>
          <w:sz w:val="22"/>
        </w:rPr>
        <w:t>Mudd, G.M. and Diesendorf, M. (2008) 'Sustainability of uranium mining and milling: Toward quantifying resources and eco-efficiency', Environmental Science and Technology, 42(7), pp. 2624–2630.</w:t>
      </w:r>
    </w:p>
    <w:p>
      <w:pPr>
        <w:spacing w:after="120"/>
        <w:ind w:left="560" w:hanging="560"/>
      </w:pPr>
      <w:r>
        <w:rPr>
          <w:sz w:val="22"/>
        </w:rPr>
        <w:t>Namibia Statistics Agency (2023) Namibia Labour Force Survey: 2018 Annual Report. Windhoek: Namibia Statistics Agency. [Year of most recent edition to be confirmed against current NSA publications.]</w:t>
      </w:r>
    </w:p>
    <w:p>
      <w:pPr>
        <w:spacing w:after="120"/>
        <w:ind w:left="560" w:hanging="560"/>
      </w:pPr>
      <w:r>
        <w:rPr>
          <w:sz w:val="22"/>
        </w:rPr>
        <w:t>Namibia Statistics Agency (2024) Namibia 2023 Population and Housing Census: Main Report. Windhoek: Namibia Statistics Agency.</w:t>
      </w:r>
    </w:p>
    <w:p>
      <w:pPr>
        <w:spacing w:after="120"/>
        <w:ind w:left="560" w:hanging="560"/>
      </w:pPr>
      <w:r>
        <w:rPr>
          <w:sz w:val="22"/>
        </w:rPr>
        <w:t>Namibia Statistics Agency [NSA] (2015) Namibia Census of Agriculture 2013/2014: Commercial, Leasehold and Resettlement Farms. Windhoek: Namibia Statistics Agency.</w:t>
      </w:r>
    </w:p>
    <w:p>
      <w:pPr>
        <w:spacing w:after="120"/>
        <w:ind w:left="560" w:hanging="560"/>
      </w:pPr>
      <w:r>
        <w:rPr>
          <w:sz w:val="22"/>
        </w:rPr>
        <w:t>Namibia Statistics Agency [NSA] (2024) 2023 Population and Housing Census Labour Force Report. Windhoek: Namibia Statistics Agency.</w:t>
      </w:r>
    </w:p>
    <w:p>
      <w:pPr>
        <w:spacing w:after="120"/>
        <w:ind w:left="560" w:hanging="560"/>
      </w:pPr>
      <w:r>
        <w:rPr>
          <w:sz w:val="22"/>
        </w:rPr>
        <w:t>The Namibian (2024a) 'Uranium mining in Stampriet aquifer risks pollution, says Schlettwein', The Namibian, 29 February. Available at: https://www.namibian.com.na/uranium-mining-in-stampriet-aquifer-risks-pollution-says-schlettwein/ (Accessed: 25 May 2026).</w:t>
      </w:r>
    </w:p>
    <w:p>
      <w:pPr>
        <w:spacing w:after="120"/>
        <w:ind w:left="560" w:hanging="560"/>
      </w:pPr>
      <w:r>
        <w:rPr>
          <w:sz w:val="22"/>
        </w:rPr>
        <w:t>The Namibian (2024b) 'Critics demand facts on uranium mining method', The Namibian, Business. Available at: https://www.namibian.com.na/critics-demand-facts-on-uranium-mining-method/ (Accessed: 25 May 2026).</w:t>
      </w:r>
    </w:p>
    <w:p>
      <w:pPr>
        <w:spacing w:after="120"/>
        <w:ind w:left="560" w:hanging="560"/>
      </w:pPr>
      <w:r>
        <w:rPr>
          <w:sz w:val="22"/>
        </w:rPr>
        <w:t>The Namibian (2024c) 'Ministers at odds over Stampriet uranium mining as water safety fears persist near Leonardville', The Namibian. Available at: https://www.namibian.com.na/ministers-at-odds-over-stampriet-uranium-mining-as-water-safety-fears-persist-near-leonardville/ (Accessed: 25 May 2026).</w:t>
      </w:r>
    </w:p>
    <w:p>
      <w:pPr>
        <w:spacing w:after="120"/>
        <w:ind w:left="560" w:hanging="560"/>
      </w:pPr>
      <w:r>
        <w:rPr>
          <w:sz w:val="22"/>
        </w:rPr>
        <w:t>The Namibian (2024d) 'Omaheke leaders gain insight into uranium mining', The Namibian. Available at: https://www.namibian.com.na/omaheke-leaders-gain-insight-into-uranium-mining/ (Accessed: 25 May 2026).</w:t>
      </w:r>
    </w:p>
    <w:p>
      <w:pPr>
        <w:spacing w:after="120"/>
        <w:ind w:left="560" w:hanging="560"/>
      </w:pPr>
      <w:r>
        <w:rPr>
          <w:sz w:val="22"/>
        </w:rPr>
        <w:t>The Namibian (2024e) 'We are scared but we want jobs', The Namibian, News. Available at: https://www.namibian.com.na/we-are-scared-but-we-want-jobs/ (Accessed: 25 May 2026).</w:t>
      </w:r>
    </w:p>
    <w:p>
      <w:pPr>
        <w:spacing w:after="120"/>
        <w:ind w:left="560" w:hanging="560"/>
      </w:pPr>
      <w:r>
        <w:rPr>
          <w:sz w:val="22"/>
        </w:rPr>
        <w:t>The Namibian (2024f) 'SAUMA takes in-situ mining fight to parliament', The Namibian. Available at: https://www.namibian.com.na/sauma-takes-in-situ-mining-fight-to-parliament/ (Accessed: 25 May 2026).</w:t>
      </w:r>
    </w:p>
    <w:p>
      <w:pPr>
        <w:spacing w:after="120"/>
        <w:ind w:left="560" w:hanging="560"/>
      </w:pPr>
      <w:r>
        <w:rPr>
          <w:sz w:val="22"/>
        </w:rPr>
        <w:t>The Namibian (2024g) 'Rosatom uranium project continues to divide opinion', The Namibian. Available at: https://www.namibian.com.na/rosatom-uranium-project-continues-to-divide-opinion/ (Accessed: 25 May 2026).</w:t>
      </w:r>
    </w:p>
    <w:p>
      <w:pPr>
        <w:spacing w:after="120"/>
        <w:ind w:left="560" w:hanging="560"/>
      </w:pPr>
      <w:r>
        <w:rPr>
          <w:sz w:val="22"/>
        </w:rPr>
        <w:t>The Namibian (2024h) 'Uranium mining plan risks Namibia's largest shared aquifer', The Namibian, Features. Available at: https://www.namibian.com.na/uranium-mining-plan-risks-namibias-largest-shared-aquifer/ (Accessed: 25 May 2026).</w:t>
      </w:r>
    </w:p>
    <w:p>
      <w:pPr>
        <w:spacing w:after="120"/>
        <w:ind w:left="560" w:hanging="560"/>
      </w:pPr>
      <w:r>
        <w:rPr>
          <w:sz w:val="22"/>
        </w:rPr>
        <w:t>The Namibian (2024i) 'Why Namibia Should Not Allow Leach Mining at Stampriet' [op-ed by Namibian Chamber of Environment], The Namibian. Available at: https://www.namibian.com.na/why-namibia-should-not-allow-leach-mining-at-stampriet/ (Accessed: 25 May 2026).</w:t>
      </w:r>
    </w:p>
    <w:p>
      <w:pPr>
        <w:spacing w:after="120"/>
        <w:ind w:left="560" w:hanging="560"/>
      </w:pPr>
      <w:r>
        <w:rPr>
          <w:sz w:val="22"/>
        </w:rPr>
        <w:t>The Namibian (2024j) 'Govt engages UNESCO, atomic energy agency on uranium mining in Omaheke', The Namibian. Available at: https://www.namibian.com.na/govt-engages-unesco-atomic-energy-agency-on-uranium-mining-in-omaheke/ (Accessed: 25 May 2026).</w:t>
      </w:r>
    </w:p>
    <w:p>
      <w:pPr>
        <w:spacing w:after="120"/>
        <w:ind w:left="560" w:hanging="560"/>
      </w:pPr>
      <w:r>
        <w:rPr>
          <w:sz w:val="22"/>
        </w:rPr>
        <w:t>The Namibian (2024k) 'Organic group joins in-situ mining fight', The Namibian. Available at: https://www.namibian.com.na/organic-group-joins-in-situ-mining-fight/ (Accessed: 25 May 2026).</w:t>
      </w:r>
    </w:p>
    <w:p>
      <w:pPr>
        <w:spacing w:after="120"/>
        <w:ind w:left="560" w:hanging="560"/>
      </w:pPr>
      <w:r>
        <w:rPr>
          <w:sz w:val="22"/>
        </w:rPr>
        <w:t>The Namibian (2025a) 'Uranium One withdraws High Court challenge', The Namibian. Available at: https://www.namibian.com.na/uranium-one-withdraws-high-court-challenge/ (Accessed: 25 May 2026).</w:t>
      </w:r>
    </w:p>
    <w:p>
      <w:pPr>
        <w:spacing w:after="120"/>
        <w:ind w:left="560" w:hanging="560"/>
      </w:pPr>
      <w:r>
        <w:rPr>
          <w:sz w:val="22"/>
        </w:rPr>
        <w:t>The Namibian (2025b) 'Sauma warns of water contamination and litigation', The Namibian. Available at: https://www.namibian.com.na/sauma-warns-of-water-contamination-and-litigation/ (Accessed: 25 May 2026).</w:t>
      </w:r>
    </w:p>
    <w:p>
      <w:pPr>
        <w:spacing w:after="120"/>
        <w:ind w:left="560" w:hanging="560"/>
      </w:pPr>
      <w:r>
        <w:rPr>
          <w:sz w:val="22"/>
        </w:rPr>
        <w:t>The Namibian (2026a) 'Decision on Omaheke uranium mining will be based on science — government', The Namibian. Available at: https://www.namibian.com.na/decision-on-omaheke-uranium-mining-will-be-based-on-science-government/ (Accessed: 25 May 2026).</w:t>
      </w:r>
    </w:p>
    <w:p>
      <w:pPr>
        <w:spacing w:after="120"/>
        <w:ind w:left="560" w:hanging="560"/>
      </w:pPr>
      <w:r>
        <w:rPr>
          <w:sz w:val="22"/>
        </w:rPr>
        <w:t>The Namibian (2026b) 'RP accuses Headspring of influencing communities', The Namibian. Available at: https://www.namibian.com.na/rp-accuses-headspring-of-influencing-communities/ (Accessed: 25 May 2026).</w:t>
      </w:r>
    </w:p>
    <w:p>
      <w:pPr>
        <w:spacing w:after="120"/>
        <w:ind w:left="560" w:hanging="560"/>
      </w:pPr>
      <w:r>
        <w:rPr>
          <w:sz w:val="22"/>
        </w:rPr>
        <w:t>Namibian Chamber of Environment [NCE] (2025) 'Poisoning the well: Why Namibia should not allow uranium leach mining in the Stampriet Artesian Basin', Conservation Namibia, 10 October. Available at: https://conservationnamibia.com/blog/uranium-leach-mining.php (Accessed: 25 May 2026).</w:t>
      </w:r>
    </w:p>
    <w:p>
      <w:pPr>
        <w:spacing w:after="120"/>
        <w:ind w:left="560" w:hanging="560"/>
      </w:pPr>
      <w:r>
        <w:rPr>
          <w:sz w:val="22"/>
        </w:rPr>
        <w:t>Namibian Sun (2022) 'Mining and farming can co-exist, says Nganate', Namibian Sun, 22 July. Available at: https://www.namibiansun.com/environment/mining-farming-can-co-exist-says-nganate2022-07-22 (Accessed: 25 May 2026).</w:t>
      </w:r>
    </w:p>
    <w:p>
      <w:pPr>
        <w:spacing w:after="120"/>
        <w:ind w:left="560" w:hanging="560"/>
      </w:pPr>
      <w:r>
        <w:rPr>
          <w:sz w:val="22"/>
        </w:rPr>
        <w:t>Namibian Uranium Association [NUA] (2024) Headspring Investments — Member Profile. Available at: https://www.namibianuranium.org/headspring-investments/ (Accessed: 25 May 2026).</w:t>
      </w:r>
    </w:p>
    <w:p>
      <w:pPr>
        <w:spacing w:after="120"/>
        <w:ind w:left="560" w:hanging="560"/>
      </w:pPr>
      <w:r>
        <w:rPr>
          <w:sz w:val="22"/>
        </w:rPr>
        <w:t>National Council of Namibia (2025) Report: Working Visit by the National Council Friendship Group on the Inter-Parliamentary Cooperation with the Federation Council of the Federal Assembly of the Russian Federation in Moscow, Russia, from 16 to 23 May 2025. Windhoek: National Council of Namibia, June 2025.</w:t>
      </w:r>
    </w:p>
    <w:p>
      <w:pPr>
        <w:spacing w:after="120"/>
        <w:ind w:left="560" w:hanging="560"/>
      </w:pPr>
      <w:r>
        <w:rPr>
          <w:sz w:val="22"/>
        </w:rPr>
        <w:t>New Era (2024a) 'RP rejects Stampriet uranium mining', New Era, Windhoek. Available at: https://neweralive.na/rp-rejects-stampriet-uranium-mining/ (Accessed: 25 May 2026).</w:t>
      </w:r>
    </w:p>
    <w:p>
      <w:pPr>
        <w:spacing w:after="120"/>
        <w:ind w:left="560" w:hanging="560"/>
      </w:pPr>
      <w:r>
        <w:rPr>
          <w:sz w:val="22"/>
        </w:rPr>
        <w:t>New Era (2024b) 'Leonardville pins hope on uranium', New Era, Windhoek. Available at: https://neweralive.na/posts/leonardville-pins-hope-on-uranium (Accessed: 25 May 2026).</w:t>
      </w:r>
    </w:p>
    <w:p>
      <w:pPr>
        <w:spacing w:after="120"/>
        <w:ind w:left="560" w:hanging="560"/>
      </w:pPr>
      <w:r>
        <w:rPr>
          <w:sz w:val="22"/>
        </w:rPr>
        <w:t>New Era (2024c) 'Uranium plans irk southern farmers', New Era, Windhoek. Available at: https://neweralive.na/posts/uranium-plans-irk-southern-farmers (Accessed: 25 May 2026).</w:t>
      </w:r>
    </w:p>
    <w:p>
      <w:pPr>
        <w:spacing w:after="120"/>
        <w:ind w:left="560" w:hanging="560"/>
      </w:pPr>
      <w:r>
        <w:rPr>
          <w:sz w:val="22"/>
        </w:rPr>
        <w:t>Nowell, L.S., Norris, J.M., White, D.E. and Moules, N.J. (2017) 'Thematic analysis: Striving to meet the trustworthiness criteria', International Journal of Qualitative Methods, 16(1), pp. 1–13. https://doi.org/10.1177/1609406917733847</w:t>
      </w:r>
    </w:p>
    <w:p>
      <w:pPr>
        <w:spacing w:after="120"/>
        <w:ind w:left="560" w:hanging="560"/>
      </w:pPr>
      <w:r>
        <w:rPr>
          <w:sz w:val="22"/>
        </w:rPr>
        <w:t>Observer24 (2024) 'Stampriet water safety study stuck in Govt silence — Sauma', Observer24. Available at: https://www.observer24.com.na/stampriet-water-safety-study-stuck-in-govt-silence-sauma/ (Accessed: 25 May 2026).</w:t>
      </w:r>
    </w:p>
    <w:p>
      <w:pPr>
        <w:spacing w:after="120"/>
        <w:ind w:left="560" w:hanging="560"/>
      </w:pPr>
      <w:r>
        <w:rPr>
          <w:sz w:val="22"/>
        </w:rPr>
        <w:t>OECD Nuclear Energy Agency and International Atomic Energy Agency (2024) Uranium 2024: Resources, Production and Demand. Paris: OECD Publishing.</w:t>
      </w:r>
    </w:p>
    <w:p>
      <w:pPr>
        <w:spacing w:after="120"/>
        <w:ind w:left="560" w:hanging="560"/>
      </w:pPr>
      <w:r>
        <w:rPr>
          <w:sz w:val="22"/>
        </w:rPr>
        <w:t>Omaheke Regional Council (n.d.) Aminuis Constituency. Omaheke Regional Council. [URL and access date to be confirmed.]</w:t>
      </w:r>
    </w:p>
    <w:p>
      <w:pPr>
        <w:spacing w:after="120"/>
        <w:ind w:left="560" w:hanging="560"/>
      </w:pPr>
      <w:r>
        <w:rPr>
          <w:sz w:val="22"/>
        </w:rPr>
        <w:t>Orange-Senqu River Commission [ORASECOM] (2022) Strategic Action Plan for the Stampriet Aquifer System. Endorsed by the Council of Ministers, November. Available via ORASECOM Secretariat.</w:t>
      </w:r>
    </w:p>
    <w:p>
      <w:pPr>
        <w:spacing w:after="120"/>
        <w:ind w:left="560" w:hanging="560"/>
      </w:pPr>
      <w:r>
        <w:rPr>
          <w:sz w:val="22"/>
        </w:rPr>
        <w:t>Orange-Senqu River Commission [ORASECOM] (2024) Position statement on the proposed Headspring Investments uranium in-situ recovery project in the Stampriet Transboundary Aquifer System. Pretoria: ORASECOM Secretariat.</w:t>
      </w:r>
    </w:p>
    <w:p>
      <w:pPr>
        <w:spacing w:after="120"/>
        <w:ind w:left="560" w:hanging="560"/>
      </w:pPr>
      <w:r>
        <w:rPr>
          <w:sz w:val="22"/>
        </w:rPr>
        <w:t>Owen, J.R. and Kemp, D. (2013) 'Social licence and mining: A critical perspective', Resources Policy, 38(1), pp. 29–35.</w:t>
      </w:r>
    </w:p>
    <w:p>
      <w:pPr>
        <w:spacing w:after="120"/>
        <w:ind w:left="560" w:hanging="560"/>
      </w:pPr>
      <w:r>
        <w:rPr>
          <w:sz w:val="22"/>
        </w:rPr>
        <w:t>Owen, J.R. and Kemp, D. (2014) 'Mining and community relations: Mapping the internal dimensions of practice', The Extractive Industries and Society, 1(1), pp. 12–19.</w:t>
      </w:r>
    </w:p>
    <w:p>
      <w:pPr>
        <w:spacing w:after="120"/>
        <w:ind w:left="560" w:hanging="560"/>
      </w:pPr>
      <w:r>
        <w:rPr>
          <w:sz w:val="22"/>
        </w:rPr>
        <w:t>Owen, J.R. and Kemp, D. (2017) Extractive Relations: Countervailing Power and the Global Mining Industry. Abingdon: Routledge.</w:t>
      </w:r>
    </w:p>
    <w:p>
      <w:pPr>
        <w:spacing w:after="120"/>
        <w:ind w:left="560" w:hanging="560"/>
      </w:pPr>
      <w:r>
        <w:rPr>
          <w:sz w:val="22"/>
        </w:rPr>
        <w:t>Pallett, J. and Iipinge, N. (2024) 'Are Environmental Impact Assessments Working in Namibia?', Conservation Namibia, 29 October. Published by the Namibian Environment and Wildlife Society (NEWS). Available at: https://conservationnamibia.com/articles/environmental-impact-assessments-2024.php (Accessed: 25 May 2026).</w:t>
      </w:r>
    </w:p>
    <w:p>
      <w:pPr>
        <w:spacing w:after="120"/>
        <w:ind w:left="560" w:hanging="560"/>
      </w:pPr>
      <w:r>
        <w:rPr>
          <w:sz w:val="22"/>
        </w:rPr>
        <w:t>Parliament of Namibia (2026) Standing Committee on Natural Resources — Membership of the 8th National Assembly. Windhoek: Parliament of Namibia. Available at: https://www.parliament.na/standing-committee-on-natural-resources/ (Accessed: 26 May 2026).</w:t>
      </w:r>
    </w:p>
    <w:p>
      <w:pPr>
        <w:spacing w:after="120"/>
        <w:ind w:left="560" w:hanging="560"/>
      </w:pPr>
      <w:r>
        <w:rPr>
          <w:sz w:val="22"/>
        </w:rPr>
        <w:t>Parliamentary Standing Committee on Natural Resources (2025) Report on the Exploration Activities by Headspring Investments / Rosatom in Namibia. Report No. 4 of 2025. Windhoek: National Assembly of Namibia.</w:t>
      </w:r>
    </w:p>
    <w:p>
      <w:pPr>
        <w:spacing w:after="120"/>
        <w:ind w:left="560" w:hanging="560"/>
      </w:pPr>
      <w:r>
        <w:rPr>
          <w:sz w:val="22"/>
        </w:rPr>
        <w:t>Parsons, R., Lacey, J. and Moffat, K. (2014) 'Maintaining legitimacy of a contested practice: How the minerals industry understands its "social licence to operate"', Resources Policy, 41, pp. 83–90.</w:t>
      </w:r>
    </w:p>
    <w:p>
      <w:pPr>
        <w:spacing w:after="120"/>
        <w:ind w:left="560" w:hanging="560"/>
      </w:pPr>
      <w:r>
        <w:rPr>
          <w:sz w:val="22"/>
        </w:rPr>
        <w:t>Patton, M.Q. (2015) Qualitative Research and Evaluation Methods. 4th edn. Thousand Oaks: Sage.</w:t>
      </w:r>
    </w:p>
    <w:p>
      <w:pPr>
        <w:spacing w:after="120"/>
        <w:ind w:left="560" w:hanging="560"/>
      </w:pPr>
      <w:r>
        <w:rPr>
          <w:sz w:val="22"/>
        </w:rPr>
        <w:t>Poland, B.D. (1995) 'Transcription quality as an aspect of rigor in qualitative research', Qualitative Inquiry, 1(3), pp. 290–310. https://doi.org/10.1177/107780049500100302</w:t>
      </w:r>
    </w:p>
    <w:p>
      <w:pPr>
        <w:spacing w:after="120"/>
        <w:ind w:left="560" w:hanging="560"/>
      </w:pPr>
      <w:r>
        <w:rPr>
          <w:sz w:val="22"/>
        </w:rPr>
        <w:t>Prno, J. and Slocombe, D.S. (2012) 'Exploring the origins of "social license to operate" in the mining sector: Perspectives from governance and sustainability theories', Resources Policy, 37(3), pp. 346–357.</w:t>
      </w:r>
    </w:p>
    <w:p>
      <w:pPr>
        <w:spacing w:after="120"/>
        <w:ind w:left="560" w:hanging="560"/>
      </w:pPr>
      <w:r>
        <w:rPr>
          <w:sz w:val="22"/>
        </w:rPr>
        <w:t>Relph, E. (1976) Place and Placelessness. London: Pion.</w:t>
      </w:r>
    </w:p>
    <w:p>
      <w:pPr>
        <w:spacing w:after="120"/>
        <w:ind w:left="560" w:hanging="560"/>
      </w:pPr>
      <w:r>
        <w:rPr>
          <w:sz w:val="22"/>
        </w:rPr>
        <w:t>Renn, O. (2008) Risk Governance: Coping with Uncertainty in a Complex World. London: Earthscan.</w:t>
      </w:r>
    </w:p>
    <w:p>
      <w:pPr>
        <w:spacing w:after="120"/>
        <w:ind w:left="560" w:hanging="560"/>
      </w:pPr>
      <w:r>
        <w:rPr>
          <w:sz w:val="22"/>
        </w:rPr>
        <w:t>Republic of Namibia (1990) Constitution of the Republic of Namibia. Windhoek: Government Gazette. Article 144 incorporates international agreements binding on Namibia into domestic law.</w:t>
      </w:r>
    </w:p>
    <w:p>
      <w:pPr>
        <w:spacing w:after="120"/>
        <w:ind w:left="560" w:hanging="560"/>
      </w:pPr>
      <w:r>
        <w:rPr>
          <w:sz w:val="22"/>
        </w:rPr>
        <w:t>Republic of Namibia (1992) Local Authorities Act 23 of 1992. Windhoek: Government Gazette.</w:t>
      </w:r>
    </w:p>
    <w:p>
      <w:pPr>
        <w:spacing w:after="120"/>
        <w:ind w:left="560" w:hanging="560"/>
      </w:pPr>
      <w:r>
        <w:rPr>
          <w:sz w:val="22"/>
        </w:rPr>
        <w:t>Republic of Namibia (1992) Minerals (Prospecting and Mining) Act 33 of 1992. Windhoek: Government Gazette.</w:t>
      </w:r>
    </w:p>
    <w:p>
      <w:pPr>
        <w:spacing w:after="120"/>
        <w:ind w:left="560" w:hanging="560"/>
      </w:pPr>
      <w:r>
        <w:rPr>
          <w:sz w:val="22"/>
        </w:rPr>
        <w:t>Republic of Namibia (1992) Regional Councils Act 22 of 1992. Windhoek: Government Gazette.</w:t>
      </w:r>
    </w:p>
    <w:p>
      <w:pPr>
        <w:spacing w:after="120"/>
        <w:ind w:left="560" w:hanging="560"/>
      </w:pPr>
      <w:r>
        <w:rPr>
          <w:sz w:val="22"/>
        </w:rPr>
        <w:t>Republic of Namibia (1995) Public Service Act 13 of 1995. Windhoek: Government Gazette.</w:t>
      </w:r>
    </w:p>
    <w:p>
      <w:pPr>
        <w:spacing w:after="120"/>
        <w:ind w:left="560" w:hanging="560"/>
      </w:pPr>
      <w:r>
        <w:rPr>
          <w:sz w:val="22"/>
        </w:rPr>
        <w:t>Republic of Namibia (2000) Traditional Authorities Act 25 of 2000. Windhoek: Government Gazette.</w:t>
      </w:r>
    </w:p>
    <w:p>
      <w:pPr>
        <w:spacing w:after="120"/>
        <w:ind w:left="560" w:hanging="560"/>
      </w:pPr>
      <w:r>
        <w:rPr>
          <w:sz w:val="22"/>
        </w:rPr>
        <w:t>Republic of Namibia (2005) Atomic Energy and Radiation Protection Act 5 of 2005. Windhoek: Government Gazette.</w:t>
      </w:r>
    </w:p>
    <w:p>
      <w:pPr>
        <w:spacing w:after="120"/>
        <w:ind w:left="560" w:hanging="560"/>
      </w:pPr>
      <w:r>
        <w:rPr>
          <w:sz w:val="22"/>
        </w:rPr>
        <w:t>Republic of Namibia (2007) Environmental Management Act 7 of 2007. Windhoek: Government Gazette.</w:t>
      </w:r>
    </w:p>
    <w:p>
      <w:pPr>
        <w:spacing w:after="120"/>
        <w:ind w:left="560" w:hanging="560"/>
      </w:pPr>
      <w:r>
        <w:rPr>
          <w:sz w:val="22"/>
        </w:rPr>
        <w:t>Republic of Namibia (2012) Environmental Impact Assessment Regulations: Environmental Management Act, 2007. Government Notice No. 30 of 2012. Windhoek: Government Gazette.</w:t>
      </w:r>
    </w:p>
    <w:p>
      <w:pPr>
        <w:spacing w:after="120"/>
        <w:ind w:left="560" w:hanging="560"/>
      </w:pPr>
      <w:r>
        <w:rPr>
          <w:sz w:val="22"/>
        </w:rPr>
        <w:t>Republic of Namibia (2013) Water Resources Management Act 11 of 2013. Windhoek: Government Gazette.</w:t>
      </w:r>
    </w:p>
    <w:p>
      <w:pPr>
        <w:spacing w:after="120"/>
        <w:ind w:left="560" w:hanging="560"/>
      </w:pPr>
      <w:r>
        <w:rPr>
          <w:sz w:val="22"/>
        </w:rPr>
        <w:t>Salom, A.T. and Kivinen, S. (2019) 'Closed and abandoned mines in Namibia: A critical review of environmental impacts and constraints to rehabilitation', South African Geographical Journal, 102(3), pp. 389–405.</w:t>
      </w:r>
    </w:p>
    <w:p>
      <w:pPr>
        <w:spacing w:after="120"/>
        <w:ind w:left="560" w:hanging="560"/>
      </w:pPr>
      <w:r>
        <w:rPr>
          <w:sz w:val="22"/>
        </w:rPr>
        <w:t>Schlettwein, C. (2024) Response to Questions No. 5 and No. 11 by Hon. Jan van Wyk (UPM), National Assembly, 29 February 2024. Windhoek: Ministry of Agriculture, Water and Land Reform.</w:t>
      </w:r>
    </w:p>
    <w:p>
      <w:pPr>
        <w:spacing w:after="120"/>
        <w:ind w:left="560" w:hanging="560"/>
      </w:pPr>
      <w:r>
        <w:rPr>
          <w:sz w:val="22"/>
        </w:rPr>
        <w:t>Schlosberg, D. (2007) Defining Environmental Justice: Theories, Movements, and Nature. Oxford: Oxford University Press.</w:t>
      </w:r>
    </w:p>
    <w:p>
      <w:pPr>
        <w:spacing w:after="120"/>
        <w:ind w:left="560" w:hanging="560"/>
      </w:pPr>
      <w:r>
        <w:rPr>
          <w:sz w:val="22"/>
        </w:rPr>
        <w:t>Sharman, J.C. (2017) The Despot's Guide to Wealth Management: On the International Campaign against Grand Corruption. Ithaca: Cornell University Press.</w:t>
      </w:r>
    </w:p>
    <w:p>
      <w:pPr>
        <w:spacing w:after="120"/>
        <w:ind w:left="560" w:hanging="560"/>
      </w:pPr>
      <w:r>
        <w:rPr>
          <w:sz w:val="22"/>
        </w:rPr>
        <w:t>Siegrist, M. and Cvetkovich, G. (2000) 'Perception of hazards: The role of social trust and knowledge', Risk Analysis, 20(5), pp. 713–719.</w:t>
      </w:r>
    </w:p>
    <w:p>
      <w:pPr>
        <w:spacing w:after="120"/>
        <w:ind w:left="560" w:hanging="560"/>
      </w:pPr>
      <w:r>
        <w:rPr>
          <w:sz w:val="22"/>
        </w:rPr>
        <w:t>Sosa, M. and Zwarteveen, M. (2012) 'Exploring the politics of water grabbing: The case of large mining operations in the Peruvian Andes', Water Alternatives, 5(2), pp. 360–375.</w:t>
      </w:r>
    </w:p>
    <w:p>
      <w:pPr>
        <w:spacing w:after="120"/>
        <w:ind w:left="560" w:hanging="560"/>
      </w:pPr>
      <w:r>
        <w:rPr>
          <w:sz w:val="22"/>
        </w:rPr>
        <w:t>Southern African Development Community [SADC] (2000) Revised Protocol on Shared Watercourses in the Southern African Development Community. Windhoek: SADC Secretariat. Signed 7 August 2000; in force 22 September 2003.</w:t>
      </w:r>
    </w:p>
    <w:p>
      <w:pPr>
        <w:spacing w:after="120"/>
        <w:ind w:left="560" w:hanging="560"/>
      </w:pPr>
      <w:r>
        <w:rPr>
          <w:sz w:val="22"/>
        </w:rPr>
        <w:t>Stampriet Aquifer Uranium Mining Association [SAUMA] (2023) Open letter on the Russia-sponsored Dalur Mine visit and unanswered questions on in-situ leach mining in the Stampriet Aquifer System. Stampriet: SAUMA, August. Available at: https://www.saumanamibia.org/post/open-letter-namibia (Accessed: 25 May 2026).</w:t>
      </w:r>
    </w:p>
    <w:p>
      <w:pPr>
        <w:spacing w:after="120"/>
        <w:ind w:left="560" w:hanging="560"/>
      </w:pPr>
      <w:r>
        <w:rPr>
          <w:sz w:val="22"/>
        </w:rPr>
        <w:t>Stampriet Aquifer Uranium Mining Association [SAUMA] (2024) Water Security First: Why International Experts are Sounding the Alarm on Uranium Mining in the Stampriet. Stampriet: SAUMA. Available at: https://www.saumanamibia.org/post/stampriet-water-security (Accessed: 25 May 2026).</w:t>
      </w:r>
    </w:p>
    <w:p>
      <w:pPr>
        <w:spacing w:after="120"/>
        <w:ind w:left="560" w:hanging="560"/>
      </w:pPr>
      <w:r>
        <w:rPr>
          <w:sz w:val="22"/>
        </w:rPr>
        <w:t>Stampriet Aquifer Uranium Mining Association [SAUMA] (n.d.) Impact of in-situ mining. SAUMA website. Available at: https://www.saumanamibia.org/impact (Accessed: 25 May 2026).</w:t>
      </w:r>
    </w:p>
    <w:p>
      <w:pPr>
        <w:spacing w:after="120"/>
        <w:ind w:left="560" w:hanging="560"/>
      </w:pPr>
      <w:r>
        <w:rPr>
          <w:sz w:val="22"/>
        </w:rPr>
        <w:t>Stone, A.E.C. and Edmunds, W.M. (2012) 'Sand, salt and water in the Stampriet Basin, Namibia — mass balance approach', Water SA, 38(3), 12 pp.</w:t>
      </w:r>
    </w:p>
    <w:p>
      <w:pPr>
        <w:spacing w:after="120"/>
        <w:ind w:left="560" w:hanging="560"/>
      </w:pPr>
      <w:r>
        <w:rPr>
          <w:sz w:val="22"/>
        </w:rPr>
        <w:t>Suzman, J. (2017) Affluence without Abundance: The Disappearing World of the Bushmen. New York: Bloomsbury.</w:t>
      </w:r>
    </w:p>
    <w:p>
      <w:pPr>
        <w:spacing w:after="120"/>
        <w:ind w:left="560" w:hanging="560"/>
      </w:pPr>
      <w:r>
        <w:rPr>
          <w:sz w:val="22"/>
        </w:rPr>
        <w:t>Temple, B. and Young, A. (2004) 'Qualitative research and translation dilemmas', Qualitative Research, 4(2), pp. 161–178. https://doi.org/10.1177/1468794104044430</w:t>
      </w:r>
    </w:p>
    <w:p>
      <w:pPr>
        <w:spacing w:after="120"/>
        <w:ind w:left="560" w:hanging="560"/>
      </w:pPr>
      <w:r>
        <w:rPr>
          <w:sz w:val="22"/>
        </w:rPr>
        <w:t>Thomson, I. and Boutilier, R.G. (2011) 'Social license to operate', in Darling, P. (ed.) SME Mining Engineering Handbook. 3rd edn. Englewood: Society for Mining, Metallurgy and Exploration, pp. 1779–1796.</w:t>
      </w:r>
    </w:p>
    <w:p>
      <w:pPr>
        <w:spacing w:after="120"/>
        <w:ind w:left="560" w:hanging="560"/>
      </w:pPr>
      <w:r>
        <w:rPr>
          <w:sz w:val="22"/>
        </w:rPr>
        <w:t>Tracy, S.J. (2010) 'Qualitative quality: Eight "big-tent" criteria for excellent qualitative research', Qualitative Inquiry, 16(10), pp. 837–851. https://doi.org/10.1177/1077800410383121</w:t>
      </w:r>
    </w:p>
    <w:p>
      <w:pPr>
        <w:spacing w:after="120"/>
        <w:ind w:left="560" w:hanging="560"/>
      </w:pPr>
      <w:r>
        <w:rPr>
          <w:sz w:val="22"/>
        </w:rPr>
        <w:t>Tuan, Y.-F. (1977) Space and Place: The Perspective of Experience. Minneapolis: University of Minnesota Press.</w:t>
      </w:r>
    </w:p>
    <w:p>
      <w:pPr>
        <w:spacing w:after="120"/>
        <w:ind w:left="560" w:hanging="560"/>
      </w:pPr>
      <w:r>
        <w:rPr>
          <w:sz w:val="22"/>
        </w:rPr>
        <w:t>Tyler, T.R. (2006) Why People Obey the Law. Princeton: Princeton University Press.</w:t>
      </w:r>
    </w:p>
    <w:p>
      <w:pPr>
        <w:spacing w:after="120"/>
        <w:ind w:left="560" w:hanging="560"/>
      </w:pPr>
      <w:r>
        <w:rPr>
          <w:sz w:val="22"/>
        </w:rPr>
        <w:t>UNESCO (2024) Stakeholders convene for a high-level meeting on the Impacts of Uranium Mining in the Stampriet Transboundary Aquifer System. UNESCO Newsroom, 23 July. Available at: https://www.unesco.org/en/articles/stakeholders-convene-high-level-meeting-impacts-uranium-mining-stampriet-transboundary-aquifer (Accessed: 25 May 2026).</w:t>
      </w:r>
    </w:p>
    <w:p>
      <w:pPr>
        <w:spacing w:after="120"/>
        <w:ind w:left="560" w:hanging="560"/>
      </w:pPr>
      <w:r>
        <w:rPr>
          <w:sz w:val="22"/>
        </w:rPr>
        <w:t>UNESCO and International Groundwater Resources Assessment Centre [IGRAC] (2017) The Stampriet Transboundary Aquifer System Assessment: Governance of Groundwater Resources in Transboundary Aquifers (GGRETA) — Phase 1 Technical Report. Paris: UNESCO.</w:t>
      </w:r>
    </w:p>
    <w:p>
      <w:pPr>
        <w:spacing w:after="120"/>
        <w:ind w:left="560" w:hanging="560"/>
      </w:pPr>
      <w:r>
        <w:rPr>
          <w:sz w:val="22"/>
        </w:rPr>
        <w:t>United Nations (1997) Convention on the Law of the Non-Navigational Uses of International Watercourses. UN Doc A/RES/51/229. New York: United Nations General Assembly. Entered into force 17 August 2014.</w:t>
      </w:r>
    </w:p>
    <w:p>
      <w:pPr>
        <w:spacing w:after="120"/>
        <w:ind w:left="560" w:hanging="560"/>
      </w:pPr>
      <w:r>
        <w:rPr>
          <w:sz w:val="22"/>
        </w:rPr>
        <w:t>United Nations General Assembly (2007) United Nations Declaration on the Rights of Indigenous Peoples (UNDRIP). UN Doc A/RES/61/295. New York: United Nations.</w:t>
      </w:r>
    </w:p>
    <w:p>
      <w:pPr>
        <w:spacing w:after="120"/>
        <w:ind w:left="560" w:hanging="560"/>
      </w:pPr>
      <w:r>
        <w:rPr>
          <w:sz w:val="22"/>
        </w:rPr>
        <w:t>United Nations General Assembly (2010) Resolution 64/292: The human right to water and sanitation. UN Doc A/RES/64/292. New York: United Nations.</w:t>
      </w:r>
    </w:p>
    <w:p>
      <w:pPr>
        <w:spacing w:after="120"/>
        <w:ind w:left="560" w:hanging="560"/>
      </w:pPr>
      <w:r>
        <w:rPr>
          <w:sz w:val="22"/>
        </w:rPr>
        <w:t>Uraplant Mining (Pty) Ltd (2022) Scoping Report for the Proposed Uranium Exploration Activities on EPLs 7795, 7796, 7798, 7799 and 7800, Hardap Region. Prepared by Marvin Environmental Project Consultants CC, Windhoek, March 2022.</w:t>
      </w:r>
    </w:p>
    <w:p>
      <w:pPr>
        <w:spacing w:after="120"/>
        <w:ind w:left="560" w:hanging="560"/>
      </w:pPr>
      <w:r>
        <w:rPr>
          <w:sz w:val="22"/>
        </w:rPr>
        <w:t>Wallace, M. (2011) A History of Namibia: From the Beginning to 1990. London: C. Hurst &amp; Co.</w:t>
      </w:r>
    </w:p>
    <w:p>
      <w:pPr>
        <w:spacing w:after="120"/>
        <w:ind w:left="560" w:hanging="560"/>
      </w:pPr>
      <w:r>
        <w:rPr>
          <w:sz w:val="22"/>
        </w:rPr>
        <w:t>Watts, M. (2004) 'Resource curse? Governmentality, oil and power in the Niger Delta, Nigeria', Geopolitics, 9(1), pp. 50–80.</w:t>
      </w:r>
    </w:p>
    <w:p>
      <w:pPr>
        <w:spacing w:after="120"/>
        <w:ind w:left="560" w:hanging="560"/>
      </w:pPr>
      <w:r>
        <w:rPr>
          <w:sz w:val="22"/>
        </w:rPr>
        <w:t>Whyte, K.P. (2011) 'The recognition dimensions of environmental justice in indigenous North America', Environmental Justice, 4(4), pp. 199–205.</w:t>
      </w:r>
    </w:p>
    <w:p>
      <w:pPr>
        <w:spacing w:after="120"/>
        <w:ind w:left="560" w:hanging="560"/>
      </w:pPr>
      <w:r>
        <w:rPr>
          <w:sz w:val="22"/>
        </w:rPr>
        <w:t>Williams, D.R. and Vaske, J.J. (2003) 'The measurement of place attachment: Validity and generalizability of a psychometric approach', Forest Science, 49(6), pp. 830–840.</w:t>
      </w:r>
    </w:p>
    <w:p>
      <w:pPr>
        <w:spacing w:after="120"/>
        <w:ind w:left="560" w:hanging="560"/>
      </w:pPr>
      <w:r>
        <w:rPr>
          <w:sz w:val="22"/>
        </w:rPr>
        <w:t>WISE Uranium Project (2026) New Uranium Mining Projects — Namibia. WISE Uranium Project country page. Available at: https://www.wise-uranium.org/upna.html (Accessed: 25 May 2026).</w:t>
      </w:r>
    </w:p>
    <w:p>
      <w:pPr>
        <w:spacing w:after="120"/>
        <w:ind w:left="560" w:hanging="560"/>
      </w:pPr>
      <w:r>
        <w:rPr>
          <w:sz w:val="22"/>
        </w:rPr>
        <w:t>World Nuclear News (2025) 'Namibian parliament makes uranium exploration recommendation', World Nuclear News. Available at: https://www.world-nuclear-news.org/articles/namibian-parliament-makes-uranium-exploration-recommendation (Accessed: 25 May 2026).</w:t>
      </w:r>
    </w:p>
    <w:p>
      <w:pPr>
        <w:spacing w:after="120"/>
        <w:ind w:left="560" w:hanging="560"/>
      </w:pPr>
      <w:r>
        <w:rPr>
          <w:sz w:val="22"/>
        </w:rPr>
        <w:t>Wouters, P. and Vinogradov, S. (2013) 'Reframing the transboundary water discourse: Contextualised international law in practice', Review of European, Comparative and International Environmental Law, 22(2), pp. 154–165.</w:t>
      </w:r>
    </w:p>
    <w:p>
      <w:pPr>
        <w:spacing w:after="120"/>
        <w:ind w:left="560" w:hanging="560"/>
      </w:pPr>
      <w:r>
        <w:rPr>
          <w:sz w:val="22"/>
        </w:rPr>
        <w:t>Yin, R.K. (2018) Case Study Research and Applications: Design and Methods. 6th edn. Thousand Oaks: Sage.</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12" w:lineRule="auto"/>
    </w:pPr>
    <w:rPr>
      <w:rFonts w:ascii="Calibri" w:hAnsi="Calibri"/>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